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F2" w:rsidRPr="00047EF2" w:rsidRDefault="00047EF2" w:rsidP="00047EF2">
      <w:pPr>
        <w:kinsoku w:val="0"/>
        <w:overflowPunct w:val="0"/>
        <w:spacing w:after="0" w:line="240" w:lineRule="auto"/>
        <w:jc w:val="center"/>
        <w:textAlignment w:val="baseline"/>
        <w:rPr>
          <w:rFonts w:ascii="Times New Roman" w:eastAsia="Times New Roman" w:hAnsi="Times New Roman" w:cs="Times New Roman"/>
          <w:sz w:val="28"/>
          <w:szCs w:val="28"/>
        </w:rPr>
      </w:pPr>
      <w:r w:rsidRPr="00047EF2">
        <w:rPr>
          <w:rFonts w:ascii="Calibri" w:eastAsia="SimSun" w:hAnsi="Calibri" w:cs="Times New Roman"/>
          <w:b/>
          <w:bCs/>
          <w:kern w:val="24"/>
          <w:sz w:val="28"/>
          <w:szCs w:val="28"/>
        </w:rPr>
        <w:t>The uneven impact of the global economic recession and austerity on places and people: Bristol and Liverpool compared</w:t>
      </w:r>
    </w:p>
    <w:p w:rsidR="00047EF2" w:rsidRDefault="00047EF2" w:rsidP="00047EF2">
      <w:pPr>
        <w:kinsoku w:val="0"/>
        <w:overflowPunct w:val="0"/>
        <w:spacing w:after="0" w:line="240" w:lineRule="auto"/>
        <w:jc w:val="center"/>
        <w:textAlignment w:val="baseline"/>
        <w:rPr>
          <w:rFonts w:eastAsia="Times New Roman" w:cs="Times New Roman"/>
          <w:b/>
          <w:kern w:val="24"/>
          <w:sz w:val="28"/>
          <w:szCs w:val="28"/>
        </w:rPr>
      </w:pPr>
    </w:p>
    <w:p w:rsidR="00047EF2" w:rsidRPr="00047EF2" w:rsidRDefault="00047EF2" w:rsidP="00047EF2">
      <w:pPr>
        <w:kinsoku w:val="0"/>
        <w:overflowPunct w:val="0"/>
        <w:spacing w:after="0" w:line="240" w:lineRule="auto"/>
        <w:jc w:val="center"/>
        <w:textAlignment w:val="baseline"/>
        <w:rPr>
          <w:rFonts w:eastAsia="Times New Roman" w:cs="Times New Roman"/>
          <w:b/>
          <w:sz w:val="28"/>
          <w:szCs w:val="28"/>
        </w:rPr>
      </w:pPr>
      <w:r w:rsidRPr="00047EF2">
        <w:rPr>
          <w:rFonts w:eastAsia="Times New Roman" w:cs="Times New Roman"/>
          <w:b/>
          <w:kern w:val="24"/>
          <w:sz w:val="28"/>
          <w:szCs w:val="28"/>
        </w:rPr>
        <w:t>Research Workshop</w:t>
      </w:r>
      <w:r w:rsidR="00E51116">
        <w:rPr>
          <w:rFonts w:eastAsia="Times New Roman" w:cs="Times New Roman"/>
          <w:b/>
          <w:kern w:val="24"/>
          <w:sz w:val="28"/>
          <w:szCs w:val="28"/>
        </w:rPr>
        <w:t>s: Bristol 5</w:t>
      </w:r>
      <w:r w:rsidR="00E51116" w:rsidRPr="00E51116">
        <w:rPr>
          <w:rFonts w:eastAsia="Times New Roman" w:cs="Times New Roman"/>
          <w:b/>
          <w:kern w:val="24"/>
          <w:sz w:val="28"/>
          <w:szCs w:val="28"/>
          <w:vertAlign w:val="superscript"/>
        </w:rPr>
        <w:t>th</w:t>
      </w:r>
      <w:r w:rsidR="00E51116">
        <w:rPr>
          <w:rFonts w:eastAsia="Times New Roman" w:cs="Times New Roman"/>
          <w:b/>
          <w:kern w:val="24"/>
          <w:sz w:val="28"/>
          <w:szCs w:val="28"/>
        </w:rPr>
        <w:t xml:space="preserve"> </w:t>
      </w:r>
      <w:r w:rsidRPr="00047EF2">
        <w:rPr>
          <w:rFonts w:eastAsia="Times New Roman" w:cs="Times New Roman"/>
          <w:b/>
          <w:kern w:val="24"/>
          <w:sz w:val="28"/>
          <w:szCs w:val="28"/>
        </w:rPr>
        <w:t xml:space="preserve">November </w:t>
      </w:r>
      <w:r w:rsidR="00E51116">
        <w:rPr>
          <w:rFonts w:eastAsia="Times New Roman" w:cs="Times New Roman"/>
          <w:b/>
          <w:kern w:val="24"/>
          <w:sz w:val="28"/>
          <w:szCs w:val="28"/>
        </w:rPr>
        <w:t>&amp; Liverpool 15</w:t>
      </w:r>
      <w:r w:rsidR="00E51116" w:rsidRPr="00E51116">
        <w:rPr>
          <w:rFonts w:eastAsia="Times New Roman" w:cs="Times New Roman"/>
          <w:b/>
          <w:kern w:val="24"/>
          <w:sz w:val="28"/>
          <w:szCs w:val="28"/>
          <w:vertAlign w:val="superscript"/>
        </w:rPr>
        <w:t>th</w:t>
      </w:r>
      <w:r w:rsidR="00E51116">
        <w:rPr>
          <w:rFonts w:eastAsia="Times New Roman" w:cs="Times New Roman"/>
          <w:b/>
          <w:kern w:val="24"/>
          <w:sz w:val="28"/>
          <w:szCs w:val="28"/>
        </w:rPr>
        <w:t xml:space="preserve"> November, 2013</w:t>
      </w:r>
      <w:bookmarkStart w:id="0" w:name="_GoBack"/>
      <w:bookmarkEnd w:id="0"/>
    </w:p>
    <w:p w:rsidR="00DE2B6E" w:rsidRDefault="00DE2B6E" w:rsidP="00F2646C">
      <w:pPr>
        <w:jc w:val="center"/>
        <w:rPr>
          <w:b/>
          <w:sz w:val="28"/>
        </w:rPr>
      </w:pPr>
    </w:p>
    <w:p w:rsidR="00A23736" w:rsidRPr="00F7574C" w:rsidRDefault="00E51AFF" w:rsidP="00F2646C">
      <w:pPr>
        <w:jc w:val="center"/>
        <w:rPr>
          <w:b/>
          <w:sz w:val="28"/>
        </w:rPr>
      </w:pPr>
      <w:r w:rsidRPr="00F7574C">
        <w:rPr>
          <w:b/>
          <w:sz w:val="28"/>
        </w:rPr>
        <w:t>Notes</w:t>
      </w:r>
      <w:r w:rsidR="0001103D">
        <w:rPr>
          <w:b/>
          <w:sz w:val="28"/>
        </w:rPr>
        <w:t xml:space="preserve"> and </w:t>
      </w:r>
      <w:r w:rsidR="005632E0" w:rsidRPr="00F7574C">
        <w:rPr>
          <w:b/>
          <w:sz w:val="28"/>
        </w:rPr>
        <w:t xml:space="preserve">Data Sources </w:t>
      </w:r>
    </w:p>
    <w:p w:rsidR="00DE2B6E" w:rsidRDefault="00DE2B6E" w:rsidP="005632E0">
      <w:pPr>
        <w:jc w:val="both"/>
        <w:rPr>
          <w:b/>
        </w:rPr>
      </w:pPr>
    </w:p>
    <w:p w:rsidR="008F253C" w:rsidRPr="008F253C" w:rsidRDefault="008F253C" w:rsidP="005632E0">
      <w:pPr>
        <w:jc w:val="both"/>
        <w:rPr>
          <w:b/>
        </w:rPr>
      </w:pPr>
      <w:r w:rsidRPr="008F253C">
        <w:rPr>
          <w:b/>
        </w:rPr>
        <w:t>The Research Project</w:t>
      </w:r>
    </w:p>
    <w:p w:rsidR="005632E0" w:rsidRDefault="00E51AFF" w:rsidP="00C664D8">
      <w:pPr>
        <w:ind w:left="720"/>
        <w:jc w:val="both"/>
      </w:pPr>
      <w:r>
        <w:t>The presentation dra</w:t>
      </w:r>
      <w:r w:rsidR="00793A72">
        <w:t>w</w:t>
      </w:r>
      <w:r>
        <w:t>s on research funded by the Economic and Social Research Council</w:t>
      </w:r>
      <w:r w:rsidR="005632E0">
        <w:t xml:space="preserve">, </w:t>
      </w:r>
      <w:r w:rsidR="005632E0" w:rsidRPr="005632E0">
        <w:rPr>
          <w:lang w:val="x-none"/>
        </w:rPr>
        <w:t>‘</w:t>
      </w:r>
      <w:proofErr w:type="gramStart"/>
      <w:r w:rsidR="005632E0" w:rsidRPr="005632E0">
        <w:rPr>
          <w:lang w:val="x-none"/>
        </w:rPr>
        <w:t>The</w:t>
      </w:r>
      <w:proofErr w:type="gramEnd"/>
      <w:r w:rsidR="005632E0" w:rsidRPr="005632E0">
        <w:rPr>
          <w:lang w:val="x-none"/>
        </w:rPr>
        <w:t xml:space="preserve"> uneven impact of economic recession: Bristol and Liverpool compared’ (Research Project RES 062 23, 2693)</w:t>
      </w:r>
      <w:r w:rsidR="005632E0">
        <w:t>.</w:t>
      </w:r>
    </w:p>
    <w:p w:rsidR="00DE2B6E" w:rsidRDefault="00DE2B6E" w:rsidP="005632E0">
      <w:pPr>
        <w:jc w:val="both"/>
        <w:rPr>
          <w:b/>
        </w:rPr>
      </w:pPr>
    </w:p>
    <w:p w:rsidR="008F253C" w:rsidRDefault="008F253C" w:rsidP="005632E0">
      <w:pPr>
        <w:jc w:val="both"/>
      </w:pPr>
      <w:r w:rsidRPr="008F253C">
        <w:rPr>
          <w:b/>
        </w:rPr>
        <w:t>Boundaries</w:t>
      </w:r>
    </w:p>
    <w:p w:rsidR="008F253C" w:rsidRDefault="008F253C" w:rsidP="00C664D8">
      <w:pPr>
        <w:ind w:left="720"/>
        <w:jc w:val="both"/>
      </w:pPr>
      <w:r>
        <w:t xml:space="preserve">The slides refer variously to Local Authority districts, Travel to Work Areas and City-regions as defined in Table </w:t>
      </w:r>
      <w:r w:rsidR="004E45CE">
        <w:t xml:space="preserve">1 </w:t>
      </w:r>
      <w:r>
        <w:t xml:space="preserve">below.  </w:t>
      </w:r>
    </w:p>
    <w:p w:rsidR="00B26E74" w:rsidRDefault="001F4C75" w:rsidP="00C664D8">
      <w:pPr>
        <w:ind w:left="720"/>
        <w:jc w:val="both"/>
        <w:rPr>
          <w:bCs/>
        </w:rPr>
      </w:pPr>
      <w:r w:rsidRPr="001F4C75">
        <w:t xml:space="preserve">There is no standard set of city-region boundaries that are routinely used in the UK. </w:t>
      </w:r>
      <w:r w:rsidR="00D30E0B">
        <w:t xml:space="preserve"> O</w:t>
      </w:r>
      <w:r w:rsidR="00D30E0B">
        <w:rPr>
          <w:bCs/>
        </w:rPr>
        <w:t xml:space="preserve">ur main set of city-region definitions </w:t>
      </w:r>
      <w:r w:rsidR="00900D5A">
        <w:rPr>
          <w:bCs/>
        </w:rPr>
        <w:t>is</w:t>
      </w:r>
      <w:r w:rsidR="00D30E0B">
        <w:rPr>
          <w:bCs/>
        </w:rPr>
        <w:t xml:space="preserve"> highlighted in the table below in bold. </w:t>
      </w:r>
      <w:r w:rsidR="00B26E74" w:rsidRPr="00B26E74">
        <w:t xml:space="preserve">For reasons of data </w:t>
      </w:r>
      <w:r w:rsidR="001F10F9">
        <w:t>availability</w:t>
      </w:r>
      <w:r w:rsidR="00D30E0B">
        <w:t xml:space="preserve"> and on occasion to focus on different geographic scales</w:t>
      </w:r>
      <w:r w:rsidR="00B26E74" w:rsidRPr="00B26E74">
        <w:t xml:space="preserve">, </w:t>
      </w:r>
      <w:r>
        <w:t xml:space="preserve">we </w:t>
      </w:r>
      <w:r w:rsidR="00900D5A">
        <w:t xml:space="preserve">also </w:t>
      </w:r>
      <w:r>
        <w:t xml:space="preserve">use </w:t>
      </w:r>
      <w:r w:rsidR="00B55013">
        <w:t xml:space="preserve">a number of </w:t>
      </w:r>
      <w:r w:rsidR="00D30E0B">
        <w:t>other</w:t>
      </w:r>
      <w:r w:rsidR="00B26E74" w:rsidRPr="00B26E74">
        <w:t xml:space="preserve"> </w:t>
      </w:r>
      <w:r w:rsidR="00B26E74">
        <w:t>‘</w:t>
      </w:r>
      <w:r w:rsidR="00B26E74" w:rsidRPr="00B26E74">
        <w:t>city-region</w:t>
      </w:r>
      <w:r w:rsidR="00B26E74">
        <w:t>’</w:t>
      </w:r>
      <w:r w:rsidR="00D30E0B">
        <w:t xml:space="preserve"> definitions, see </w:t>
      </w:r>
      <w:r w:rsidR="004E45CE">
        <w:t>T</w:t>
      </w:r>
      <w:r w:rsidR="00D30E0B">
        <w:t xml:space="preserve">able </w:t>
      </w:r>
      <w:r w:rsidR="004E45CE">
        <w:t xml:space="preserve">1 </w:t>
      </w:r>
      <w:r w:rsidR="00D30E0B">
        <w:t>below</w:t>
      </w:r>
      <w:r w:rsidR="00B55013">
        <w:t xml:space="preserve">.  </w:t>
      </w:r>
      <w:r w:rsidR="00900D5A">
        <w:t>S</w:t>
      </w:r>
      <w:r w:rsidR="00D30E0B">
        <w:rPr>
          <w:bCs/>
        </w:rPr>
        <w:t>lides refer</w:t>
      </w:r>
      <w:r w:rsidR="00900D5A">
        <w:rPr>
          <w:bCs/>
        </w:rPr>
        <w:t>ring</w:t>
      </w:r>
      <w:r w:rsidR="00D30E0B">
        <w:rPr>
          <w:bCs/>
        </w:rPr>
        <w:t xml:space="preserve"> to ‘city-regions’</w:t>
      </w:r>
      <w:r w:rsidR="00900D5A">
        <w:rPr>
          <w:bCs/>
        </w:rPr>
        <w:t xml:space="preserve"> </w:t>
      </w:r>
      <w:r w:rsidR="00D30E0B">
        <w:rPr>
          <w:bCs/>
        </w:rPr>
        <w:t xml:space="preserve">nearly always present data </w:t>
      </w:r>
      <w:r w:rsidR="006849A9">
        <w:rPr>
          <w:bCs/>
        </w:rPr>
        <w:t>using</w:t>
      </w:r>
      <w:r w:rsidR="00D30E0B">
        <w:rPr>
          <w:bCs/>
        </w:rPr>
        <w:t xml:space="preserve"> our main set of boundaries, however </w:t>
      </w:r>
      <w:r w:rsidR="006849A9">
        <w:rPr>
          <w:bCs/>
        </w:rPr>
        <w:t>in the</w:t>
      </w:r>
      <w:r w:rsidR="00900D5A">
        <w:rPr>
          <w:bCs/>
        </w:rPr>
        <w:t xml:space="preserve"> </w:t>
      </w:r>
      <w:r w:rsidR="00D30E0B">
        <w:rPr>
          <w:bCs/>
        </w:rPr>
        <w:t xml:space="preserve">instances where this is not the case, this is </w:t>
      </w:r>
      <w:r w:rsidR="00900D5A">
        <w:rPr>
          <w:bCs/>
        </w:rPr>
        <w:t xml:space="preserve">highlighted below </w:t>
      </w:r>
      <w:r w:rsidR="00D30E0B">
        <w:rPr>
          <w:bCs/>
        </w:rPr>
        <w:t xml:space="preserve">in the </w:t>
      </w:r>
      <w:r w:rsidR="00900D5A">
        <w:rPr>
          <w:bCs/>
        </w:rPr>
        <w:t xml:space="preserve">notes for each </w:t>
      </w:r>
      <w:r w:rsidR="00D30E0B">
        <w:rPr>
          <w:bCs/>
        </w:rPr>
        <w:t>individual slide.</w:t>
      </w:r>
    </w:p>
    <w:p w:rsidR="00DE2B6E" w:rsidRDefault="00DE2B6E">
      <w:pPr>
        <w:rPr>
          <w:b/>
          <w:bCs/>
        </w:rPr>
      </w:pPr>
      <w:r>
        <w:rPr>
          <w:b/>
          <w:bCs/>
        </w:rPr>
        <w:br w:type="page"/>
      </w:r>
    </w:p>
    <w:p w:rsidR="00272FB2" w:rsidRDefault="00284155" w:rsidP="00284155">
      <w:pPr>
        <w:spacing w:after="0"/>
        <w:jc w:val="both"/>
        <w:rPr>
          <w:b/>
          <w:bCs/>
        </w:rPr>
      </w:pPr>
      <w:r w:rsidRPr="00284155">
        <w:rPr>
          <w:b/>
          <w:bCs/>
        </w:rPr>
        <w:lastRenderedPageBreak/>
        <w:t>Table 1: Boundary definitions</w:t>
      </w:r>
    </w:p>
    <w:p w:rsidR="00DE2B6E" w:rsidRPr="00284155" w:rsidRDefault="00DE2B6E" w:rsidP="00284155">
      <w:pPr>
        <w:spacing w:after="0"/>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544"/>
        <w:gridCol w:w="3686"/>
      </w:tblGrid>
      <w:tr w:rsidR="008F253C" w:rsidRPr="00C664D8" w:rsidTr="00C664D8">
        <w:trPr>
          <w:trHeight w:val="486"/>
        </w:trPr>
        <w:tc>
          <w:tcPr>
            <w:tcW w:w="1701" w:type="dxa"/>
            <w:shd w:val="clear" w:color="auto" w:fill="D9D9D9" w:themeFill="background1" w:themeFillShade="D9"/>
            <w:vAlign w:val="center"/>
          </w:tcPr>
          <w:p w:rsidR="008F253C" w:rsidRPr="00C664D8" w:rsidRDefault="008F253C" w:rsidP="008F253C">
            <w:pPr>
              <w:spacing w:after="0" w:line="240" w:lineRule="auto"/>
              <w:rPr>
                <w:b/>
                <w:sz w:val="20"/>
                <w:szCs w:val="20"/>
              </w:rPr>
            </w:pPr>
            <w:r w:rsidRPr="00C664D8">
              <w:rPr>
                <w:b/>
                <w:sz w:val="20"/>
                <w:szCs w:val="20"/>
              </w:rPr>
              <w:t>Spatial Scale</w:t>
            </w:r>
          </w:p>
        </w:tc>
        <w:tc>
          <w:tcPr>
            <w:tcW w:w="3544" w:type="dxa"/>
            <w:shd w:val="clear" w:color="auto" w:fill="D9D9D9"/>
            <w:vAlign w:val="center"/>
          </w:tcPr>
          <w:p w:rsidR="008F253C" w:rsidRPr="00C664D8" w:rsidRDefault="008F253C" w:rsidP="008F253C">
            <w:pPr>
              <w:spacing w:after="0" w:line="240" w:lineRule="auto"/>
              <w:jc w:val="center"/>
              <w:rPr>
                <w:b/>
                <w:sz w:val="20"/>
                <w:szCs w:val="20"/>
              </w:rPr>
            </w:pPr>
            <w:r w:rsidRPr="00C664D8">
              <w:rPr>
                <w:b/>
                <w:sz w:val="20"/>
                <w:szCs w:val="20"/>
              </w:rPr>
              <w:t>Bristol</w:t>
            </w:r>
          </w:p>
        </w:tc>
        <w:tc>
          <w:tcPr>
            <w:tcW w:w="3686" w:type="dxa"/>
            <w:shd w:val="clear" w:color="auto" w:fill="D9D9D9"/>
            <w:vAlign w:val="center"/>
          </w:tcPr>
          <w:p w:rsidR="008F253C" w:rsidRPr="00C664D8" w:rsidRDefault="008F253C" w:rsidP="008F253C">
            <w:pPr>
              <w:spacing w:after="0" w:line="240" w:lineRule="auto"/>
              <w:jc w:val="center"/>
              <w:rPr>
                <w:b/>
                <w:sz w:val="20"/>
                <w:szCs w:val="20"/>
              </w:rPr>
            </w:pPr>
            <w:r w:rsidRPr="00C664D8">
              <w:rPr>
                <w:b/>
                <w:sz w:val="20"/>
                <w:szCs w:val="20"/>
              </w:rPr>
              <w:t>Liverpool</w:t>
            </w:r>
          </w:p>
        </w:tc>
      </w:tr>
      <w:tr w:rsidR="00900D5A" w:rsidRPr="00C664D8" w:rsidTr="00C664D8">
        <w:trPr>
          <w:trHeight w:val="1691"/>
        </w:trPr>
        <w:tc>
          <w:tcPr>
            <w:tcW w:w="1701" w:type="dxa"/>
            <w:shd w:val="clear" w:color="auto" w:fill="D9D9D9" w:themeFill="background1" w:themeFillShade="D9"/>
            <w:vAlign w:val="center"/>
          </w:tcPr>
          <w:p w:rsidR="00900D5A" w:rsidRPr="00C664D8" w:rsidRDefault="00900D5A" w:rsidP="0014074C">
            <w:pPr>
              <w:spacing w:after="0" w:line="240" w:lineRule="auto"/>
              <w:rPr>
                <w:b/>
                <w:sz w:val="20"/>
                <w:szCs w:val="20"/>
              </w:rPr>
            </w:pPr>
            <w:r w:rsidRPr="00C664D8">
              <w:rPr>
                <w:b/>
                <w:sz w:val="20"/>
                <w:szCs w:val="20"/>
              </w:rPr>
              <w:t xml:space="preserve">City Regions </w:t>
            </w:r>
          </w:p>
          <w:p w:rsidR="00267F3C" w:rsidRPr="00C664D8" w:rsidRDefault="00267F3C" w:rsidP="0014074C">
            <w:pPr>
              <w:spacing w:after="0" w:line="240" w:lineRule="auto"/>
              <w:rPr>
                <w:b/>
                <w:sz w:val="20"/>
                <w:szCs w:val="20"/>
              </w:rPr>
            </w:pPr>
            <w:r w:rsidRPr="00C664D8">
              <w:rPr>
                <w:b/>
                <w:sz w:val="20"/>
                <w:szCs w:val="20"/>
              </w:rPr>
              <w:t>(our main set of boundary definitions)</w:t>
            </w:r>
          </w:p>
        </w:tc>
        <w:tc>
          <w:tcPr>
            <w:tcW w:w="3544" w:type="dxa"/>
            <w:vAlign w:val="center"/>
          </w:tcPr>
          <w:p w:rsidR="00900D5A" w:rsidRPr="00C664D8" w:rsidRDefault="00900D5A" w:rsidP="0014074C">
            <w:pPr>
              <w:spacing w:after="0" w:line="240" w:lineRule="auto"/>
              <w:jc w:val="center"/>
              <w:rPr>
                <w:b/>
                <w:sz w:val="20"/>
                <w:szCs w:val="20"/>
              </w:rPr>
            </w:pPr>
            <w:r w:rsidRPr="00C664D8">
              <w:rPr>
                <w:b/>
                <w:sz w:val="20"/>
                <w:szCs w:val="20"/>
              </w:rPr>
              <w:t>City of Bristol</w:t>
            </w:r>
          </w:p>
          <w:p w:rsidR="00900D5A" w:rsidRPr="00C664D8" w:rsidRDefault="00900D5A" w:rsidP="0014074C">
            <w:pPr>
              <w:spacing w:after="0" w:line="240" w:lineRule="auto"/>
              <w:jc w:val="center"/>
              <w:rPr>
                <w:b/>
                <w:sz w:val="20"/>
                <w:szCs w:val="20"/>
              </w:rPr>
            </w:pPr>
            <w:r w:rsidRPr="00C664D8">
              <w:rPr>
                <w:b/>
                <w:sz w:val="20"/>
                <w:szCs w:val="20"/>
              </w:rPr>
              <w:t>North Somerset</w:t>
            </w:r>
          </w:p>
          <w:p w:rsidR="00900D5A" w:rsidRPr="00C664D8" w:rsidRDefault="00900D5A" w:rsidP="0014074C">
            <w:pPr>
              <w:spacing w:after="0" w:line="240" w:lineRule="auto"/>
              <w:jc w:val="center"/>
              <w:rPr>
                <w:b/>
                <w:sz w:val="20"/>
                <w:szCs w:val="20"/>
              </w:rPr>
            </w:pPr>
            <w:r w:rsidRPr="00C664D8">
              <w:rPr>
                <w:b/>
                <w:sz w:val="20"/>
                <w:szCs w:val="20"/>
              </w:rPr>
              <w:t>South Gloucestershire</w:t>
            </w:r>
          </w:p>
          <w:p w:rsidR="00900D5A" w:rsidRPr="00C664D8" w:rsidRDefault="00900D5A" w:rsidP="0014074C">
            <w:pPr>
              <w:spacing w:after="0" w:line="240" w:lineRule="auto"/>
              <w:jc w:val="center"/>
              <w:rPr>
                <w:b/>
                <w:sz w:val="20"/>
                <w:szCs w:val="20"/>
              </w:rPr>
            </w:pPr>
            <w:r w:rsidRPr="00C664D8">
              <w:rPr>
                <w:b/>
                <w:sz w:val="20"/>
                <w:szCs w:val="20"/>
              </w:rPr>
              <w:t>Bath and North East Somerset</w:t>
            </w:r>
          </w:p>
        </w:tc>
        <w:tc>
          <w:tcPr>
            <w:tcW w:w="3686" w:type="dxa"/>
            <w:vAlign w:val="center"/>
          </w:tcPr>
          <w:p w:rsidR="00900D5A" w:rsidRPr="00C664D8" w:rsidRDefault="00900D5A" w:rsidP="0014074C">
            <w:pPr>
              <w:spacing w:after="0" w:line="240" w:lineRule="auto"/>
              <w:jc w:val="center"/>
              <w:rPr>
                <w:b/>
                <w:sz w:val="20"/>
                <w:szCs w:val="20"/>
              </w:rPr>
            </w:pPr>
            <w:r w:rsidRPr="00C664D8">
              <w:rPr>
                <w:b/>
                <w:sz w:val="20"/>
                <w:szCs w:val="20"/>
              </w:rPr>
              <w:t>Liverpool</w:t>
            </w:r>
          </w:p>
          <w:p w:rsidR="00900D5A" w:rsidRPr="00C664D8" w:rsidRDefault="00900D5A" w:rsidP="0014074C">
            <w:pPr>
              <w:spacing w:after="0" w:line="240" w:lineRule="auto"/>
              <w:jc w:val="center"/>
              <w:rPr>
                <w:b/>
                <w:sz w:val="20"/>
                <w:szCs w:val="20"/>
              </w:rPr>
            </w:pPr>
            <w:proofErr w:type="spellStart"/>
            <w:r w:rsidRPr="00C664D8">
              <w:rPr>
                <w:b/>
                <w:sz w:val="20"/>
                <w:szCs w:val="20"/>
              </w:rPr>
              <w:t>Halton</w:t>
            </w:r>
            <w:proofErr w:type="spellEnd"/>
          </w:p>
          <w:p w:rsidR="00900D5A" w:rsidRPr="00C664D8" w:rsidRDefault="00900D5A" w:rsidP="0014074C">
            <w:pPr>
              <w:spacing w:after="0" w:line="240" w:lineRule="auto"/>
              <w:jc w:val="center"/>
              <w:rPr>
                <w:b/>
                <w:sz w:val="20"/>
                <w:szCs w:val="20"/>
              </w:rPr>
            </w:pPr>
            <w:proofErr w:type="spellStart"/>
            <w:r w:rsidRPr="00C664D8">
              <w:rPr>
                <w:b/>
                <w:sz w:val="20"/>
                <w:szCs w:val="20"/>
              </w:rPr>
              <w:t>Knowsley</w:t>
            </w:r>
            <w:proofErr w:type="spellEnd"/>
          </w:p>
          <w:p w:rsidR="00900D5A" w:rsidRPr="00C664D8" w:rsidRDefault="00900D5A" w:rsidP="0014074C">
            <w:pPr>
              <w:spacing w:after="0" w:line="240" w:lineRule="auto"/>
              <w:jc w:val="center"/>
              <w:rPr>
                <w:b/>
                <w:sz w:val="20"/>
                <w:szCs w:val="20"/>
              </w:rPr>
            </w:pPr>
            <w:proofErr w:type="spellStart"/>
            <w:r w:rsidRPr="00C664D8">
              <w:rPr>
                <w:b/>
                <w:sz w:val="20"/>
                <w:szCs w:val="20"/>
              </w:rPr>
              <w:t>Sefton</w:t>
            </w:r>
            <w:proofErr w:type="spellEnd"/>
          </w:p>
          <w:p w:rsidR="00900D5A" w:rsidRPr="00C664D8" w:rsidRDefault="00900D5A" w:rsidP="0014074C">
            <w:pPr>
              <w:spacing w:after="0" w:line="240" w:lineRule="auto"/>
              <w:jc w:val="center"/>
              <w:rPr>
                <w:b/>
                <w:sz w:val="20"/>
                <w:szCs w:val="20"/>
              </w:rPr>
            </w:pPr>
            <w:r w:rsidRPr="00C664D8">
              <w:rPr>
                <w:b/>
                <w:sz w:val="20"/>
                <w:szCs w:val="20"/>
              </w:rPr>
              <w:t>St Helens</w:t>
            </w:r>
          </w:p>
          <w:p w:rsidR="00900D5A" w:rsidRPr="00C664D8" w:rsidRDefault="00900D5A" w:rsidP="0014074C">
            <w:pPr>
              <w:spacing w:after="0" w:line="240" w:lineRule="auto"/>
              <w:jc w:val="center"/>
              <w:rPr>
                <w:b/>
                <w:sz w:val="20"/>
                <w:szCs w:val="20"/>
              </w:rPr>
            </w:pPr>
            <w:r w:rsidRPr="00C664D8">
              <w:rPr>
                <w:b/>
                <w:sz w:val="20"/>
                <w:szCs w:val="20"/>
              </w:rPr>
              <w:t>Wirral</w:t>
            </w:r>
          </w:p>
        </w:tc>
      </w:tr>
      <w:tr w:rsidR="007A4167" w:rsidRPr="00C664D8" w:rsidTr="00C664D8">
        <w:trPr>
          <w:trHeight w:val="1083"/>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A4167" w:rsidRPr="00C664D8" w:rsidRDefault="007A4167" w:rsidP="00C664D8">
            <w:pPr>
              <w:spacing w:after="0" w:line="240" w:lineRule="auto"/>
              <w:rPr>
                <w:sz w:val="20"/>
                <w:szCs w:val="20"/>
              </w:rPr>
            </w:pPr>
            <w:r w:rsidRPr="00C664D8">
              <w:rPr>
                <w:sz w:val="20"/>
                <w:szCs w:val="20"/>
              </w:rPr>
              <w:t>City-region by</w:t>
            </w:r>
            <w:r w:rsidR="00F2646C" w:rsidRPr="00C664D8">
              <w:rPr>
                <w:bCs/>
                <w:sz w:val="20"/>
                <w:szCs w:val="20"/>
              </w:rPr>
              <w:t xml:space="preserve"> EU’s ‘NUTS’ regional classification (‘Nomenclature of territorial units for statistics’) and specifically the lowest level of that classification - ‘NUTS 3’ regions</w:t>
            </w:r>
            <w:r w:rsidRPr="00C664D8">
              <w:rPr>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A4167" w:rsidRPr="00C664D8" w:rsidRDefault="007A4167" w:rsidP="008A6684">
            <w:pPr>
              <w:spacing w:after="0" w:line="240" w:lineRule="auto"/>
              <w:jc w:val="center"/>
              <w:rPr>
                <w:sz w:val="20"/>
                <w:szCs w:val="20"/>
              </w:rPr>
            </w:pPr>
            <w:r w:rsidRPr="00C664D8">
              <w:rPr>
                <w:sz w:val="20"/>
                <w:szCs w:val="20"/>
              </w:rPr>
              <w:t>City of Bristol</w:t>
            </w:r>
          </w:p>
          <w:p w:rsidR="007A4167" w:rsidRPr="00C664D8" w:rsidRDefault="007A4167" w:rsidP="008A6684">
            <w:pPr>
              <w:spacing w:after="0" w:line="240" w:lineRule="auto"/>
              <w:jc w:val="center"/>
              <w:rPr>
                <w:sz w:val="20"/>
                <w:szCs w:val="20"/>
              </w:rPr>
            </w:pPr>
            <w:r w:rsidRPr="00C664D8">
              <w:rPr>
                <w:sz w:val="20"/>
                <w:szCs w:val="20"/>
              </w:rPr>
              <w:t>Bath and North East Somerset,</w:t>
            </w:r>
          </w:p>
          <w:p w:rsidR="007A4167" w:rsidRPr="00C664D8" w:rsidRDefault="007A4167" w:rsidP="008A6684">
            <w:pPr>
              <w:spacing w:after="0" w:line="240" w:lineRule="auto"/>
              <w:jc w:val="center"/>
              <w:rPr>
                <w:sz w:val="20"/>
                <w:szCs w:val="20"/>
              </w:rPr>
            </w:pPr>
            <w:r w:rsidRPr="00C664D8">
              <w:rPr>
                <w:sz w:val="20"/>
                <w:szCs w:val="20"/>
              </w:rPr>
              <w:t>North Somerset</w:t>
            </w:r>
          </w:p>
          <w:p w:rsidR="007A4167" w:rsidRPr="00C664D8" w:rsidRDefault="007A4167" w:rsidP="008A6684">
            <w:pPr>
              <w:spacing w:after="0" w:line="240" w:lineRule="auto"/>
              <w:jc w:val="center"/>
              <w:rPr>
                <w:sz w:val="20"/>
                <w:szCs w:val="20"/>
              </w:rPr>
            </w:pPr>
            <w:r w:rsidRPr="00C664D8">
              <w:rPr>
                <w:sz w:val="20"/>
                <w:szCs w:val="20"/>
              </w:rPr>
              <w:t>South Gloucestershire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167" w:rsidRPr="00C664D8" w:rsidRDefault="007A4167" w:rsidP="008A6684">
            <w:pPr>
              <w:spacing w:after="0" w:line="240" w:lineRule="auto"/>
              <w:jc w:val="center"/>
              <w:rPr>
                <w:sz w:val="20"/>
                <w:szCs w:val="20"/>
              </w:rPr>
            </w:pPr>
            <w:r w:rsidRPr="00C664D8">
              <w:rPr>
                <w:sz w:val="20"/>
                <w:szCs w:val="20"/>
              </w:rPr>
              <w:t>East Merseyside</w:t>
            </w:r>
          </w:p>
          <w:p w:rsidR="007A4167" w:rsidRPr="00C664D8" w:rsidRDefault="007A4167" w:rsidP="008A6684">
            <w:pPr>
              <w:spacing w:after="0" w:line="240" w:lineRule="auto"/>
              <w:jc w:val="center"/>
              <w:rPr>
                <w:sz w:val="20"/>
                <w:szCs w:val="20"/>
              </w:rPr>
            </w:pPr>
            <w:r w:rsidRPr="00C664D8">
              <w:rPr>
                <w:sz w:val="20"/>
                <w:szCs w:val="20"/>
              </w:rPr>
              <w:t>Liverpool</w:t>
            </w:r>
          </w:p>
          <w:p w:rsidR="007A4167" w:rsidRPr="00C664D8" w:rsidRDefault="007A4167" w:rsidP="008A6684">
            <w:pPr>
              <w:spacing w:after="0" w:line="240" w:lineRule="auto"/>
              <w:jc w:val="center"/>
              <w:rPr>
                <w:sz w:val="20"/>
                <w:szCs w:val="20"/>
              </w:rPr>
            </w:pPr>
            <w:proofErr w:type="spellStart"/>
            <w:r w:rsidRPr="00C664D8">
              <w:rPr>
                <w:sz w:val="20"/>
                <w:szCs w:val="20"/>
              </w:rPr>
              <w:t>Sefton</w:t>
            </w:r>
            <w:proofErr w:type="spellEnd"/>
          </w:p>
          <w:p w:rsidR="007A4167" w:rsidRPr="00C664D8" w:rsidRDefault="007A4167" w:rsidP="008A6684">
            <w:pPr>
              <w:spacing w:after="0" w:line="240" w:lineRule="auto"/>
              <w:jc w:val="center"/>
              <w:rPr>
                <w:sz w:val="20"/>
                <w:szCs w:val="20"/>
              </w:rPr>
            </w:pPr>
            <w:r w:rsidRPr="00C664D8">
              <w:rPr>
                <w:sz w:val="20"/>
                <w:szCs w:val="20"/>
              </w:rPr>
              <w:t>Wirral</w:t>
            </w:r>
          </w:p>
        </w:tc>
      </w:tr>
      <w:tr w:rsidR="008F253C" w:rsidRPr="00C664D8" w:rsidTr="00C664D8">
        <w:trPr>
          <w:trHeight w:val="708"/>
        </w:trPr>
        <w:tc>
          <w:tcPr>
            <w:tcW w:w="1701" w:type="dxa"/>
            <w:shd w:val="clear" w:color="auto" w:fill="D9D9D9" w:themeFill="background1" w:themeFillShade="D9"/>
            <w:vAlign w:val="center"/>
          </w:tcPr>
          <w:p w:rsidR="008F253C" w:rsidRPr="00C664D8" w:rsidRDefault="007A4167" w:rsidP="007A4167">
            <w:pPr>
              <w:spacing w:after="0" w:line="240" w:lineRule="auto"/>
              <w:rPr>
                <w:sz w:val="20"/>
                <w:szCs w:val="20"/>
              </w:rPr>
            </w:pPr>
            <w:r w:rsidRPr="00C664D8">
              <w:rPr>
                <w:sz w:val="20"/>
                <w:szCs w:val="20"/>
              </w:rPr>
              <w:t>City</w:t>
            </w:r>
          </w:p>
        </w:tc>
        <w:tc>
          <w:tcPr>
            <w:tcW w:w="3544" w:type="dxa"/>
            <w:vAlign w:val="center"/>
          </w:tcPr>
          <w:p w:rsidR="008F253C" w:rsidRPr="00C664D8" w:rsidRDefault="00B26E74" w:rsidP="00B26E74">
            <w:pPr>
              <w:spacing w:after="0" w:line="240" w:lineRule="auto"/>
              <w:jc w:val="center"/>
              <w:rPr>
                <w:sz w:val="20"/>
                <w:szCs w:val="20"/>
              </w:rPr>
            </w:pPr>
            <w:r w:rsidRPr="00C664D8">
              <w:rPr>
                <w:sz w:val="20"/>
                <w:szCs w:val="20"/>
              </w:rPr>
              <w:t xml:space="preserve">City of </w:t>
            </w:r>
            <w:r w:rsidR="008F253C" w:rsidRPr="00C664D8">
              <w:rPr>
                <w:sz w:val="20"/>
                <w:szCs w:val="20"/>
              </w:rPr>
              <w:t>Bristol</w:t>
            </w:r>
          </w:p>
        </w:tc>
        <w:tc>
          <w:tcPr>
            <w:tcW w:w="3686" w:type="dxa"/>
            <w:vAlign w:val="center"/>
          </w:tcPr>
          <w:p w:rsidR="008F253C" w:rsidRPr="00C664D8" w:rsidRDefault="008F253C" w:rsidP="00B26E74">
            <w:pPr>
              <w:spacing w:after="0" w:line="240" w:lineRule="auto"/>
              <w:jc w:val="center"/>
              <w:rPr>
                <w:sz w:val="20"/>
                <w:szCs w:val="20"/>
              </w:rPr>
            </w:pPr>
            <w:r w:rsidRPr="00C664D8">
              <w:rPr>
                <w:sz w:val="20"/>
                <w:szCs w:val="20"/>
              </w:rPr>
              <w:t>Liverpool</w:t>
            </w:r>
          </w:p>
        </w:tc>
      </w:tr>
      <w:tr w:rsidR="008F253C" w:rsidRPr="00C664D8" w:rsidTr="00C664D8">
        <w:trPr>
          <w:trHeight w:val="1691"/>
        </w:trPr>
        <w:tc>
          <w:tcPr>
            <w:tcW w:w="1701" w:type="dxa"/>
            <w:shd w:val="clear" w:color="auto" w:fill="D9D9D9" w:themeFill="background1" w:themeFillShade="D9"/>
            <w:vAlign w:val="center"/>
          </w:tcPr>
          <w:p w:rsidR="008F253C" w:rsidRPr="00C664D8" w:rsidRDefault="008F253C" w:rsidP="00B26E74">
            <w:pPr>
              <w:spacing w:after="0" w:line="240" w:lineRule="auto"/>
              <w:rPr>
                <w:sz w:val="20"/>
                <w:szCs w:val="20"/>
              </w:rPr>
            </w:pPr>
            <w:r w:rsidRPr="00C664D8">
              <w:rPr>
                <w:sz w:val="20"/>
                <w:szCs w:val="20"/>
              </w:rPr>
              <w:t xml:space="preserve">TTWA </w:t>
            </w:r>
            <w:r w:rsidR="00C358E0" w:rsidRPr="00C664D8">
              <w:rPr>
                <w:sz w:val="20"/>
                <w:szCs w:val="20"/>
              </w:rPr>
              <w:t>2001 (based</w:t>
            </w:r>
            <w:r w:rsidR="00F2646C" w:rsidRPr="00C664D8">
              <w:rPr>
                <w:sz w:val="20"/>
                <w:szCs w:val="20"/>
              </w:rPr>
              <w:t xml:space="preserve"> on </w:t>
            </w:r>
            <w:r w:rsidR="004E45CE">
              <w:rPr>
                <w:sz w:val="20"/>
                <w:szCs w:val="20"/>
              </w:rPr>
              <w:t>‘</w:t>
            </w:r>
            <w:r w:rsidR="00F2646C" w:rsidRPr="00C664D8">
              <w:rPr>
                <w:sz w:val="20"/>
                <w:szCs w:val="20"/>
              </w:rPr>
              <w:t>Lo</w:t>
            </w:r>
            <w:r w:rsidR="004E45CE">
              <w:rPr>
                <w:sz w:val="20"/>
                <w:szCs w:val="20"/>
              </w:rPr>
              <w:t>wer</w:t>
            </w:r>
            <w:r w:rsidR="00F2646C" w:rsidRPr="00C664D8">
              <w:rPr>
                <w:sz w:val="20"/>
                <w:szCs w:val="20"/>
              </w:rPr>
              <w:t xml:space="preserve">  Super Output Areas</w:t>
            </w:r>
            <w:r w:rsidR="004E45CE">
              <w:rPr>
                <w:sz w:val="20"/>
                <w:szCs w:val="20"/>
              </w:rPr>
              <w:t>’</w:t>
            </w:r>
            <w:r w:rsidR="00F2646C" w:rsidRPr="00C664D8">
              <w:rPr>
                <w:sz w:val="20"/>
                <w:szCs w:val="20"/>
              </w:rPr>
              <w:t xml:space="preserve"> </w:t>
            </w:r>
            <w:r w:rsidR="004E45CE">
              <w:rPr>
                <w:sz w:val="20"/>
                <w:szCs w:val="20"/>
              </w:rPr>
              <w:t>–</w:t>
            </w:r>
            <w:r w:rsidR="00F2646C" w:rsidRPr="00C664D8">
              <w:rPr>
                <w:sz w:val="20"/>
                <w:szCs w:val="20"/>
              </w:rPr>
              <w:t xml:space="preserve"> </w:t>
            </w:r>
            <w:r w:rsidR="004E45CE">
              <w:rPr>
                <w:sz w:val="20"/>
                <w:szCs w:val="20"/>
              </w:rPr>
              <w:t>‘</w:t>
            </w:r>
            <w:r w:rsidR="00F2646C" w:rsidRPr="00C664D8">
              <w:rPr>
                <w:sz w:val="20"/>
                <w:szCs w:val="20"/>
              </w:rPr>
              <w:t>LSOAs</w:t>
            </w:r>
            <w:r w:rsidR="004E45CE">
              <w:rPr>
                <w:sz w:val="20"/>
                <w:szCs w:val="20"/>
              </w:rPr>
              <w:t>’</w:t>
            </w:r>
            <w:r w:rsidR="00C358E0" w:rsidRPr="00C664D8">
              <w:rPr>
                <w:sz w:val="20"/>
                <w:szCs w:val="20"/>
              </w:rPr>
              <w:t>)</w:t>
            </w:r>
          </w:p>
          <w:p w:rsidR="008F253C" w:rsidRPr="00C664D8" w:rsidRDefault="008F253C" w:rsidP="00B26E74">
            <w:pPr>
              <w:spacing w:after="0" w:line="240" w:lineRule="auto"/>
              <w:rPr>
                <w:b/>
                <w:i/>
                <w:sz w:val="20"/>
                <w:szCs w:val="20"/>
              </w:rPr>
            </w:pPr>
          </w:p>
        </w:tc>
        <w:tc>
          <w:tcPr>
            <w:tcW w:w="3544" w:type="dxa"/>
            <w:vAlign w:val="center"/>
          </w:tcPr>
          <w:p w:rsidR="00C358E0" w:rsidRPr="00C664D8" w:rsidRDefault="00C358E0" w:rsidP="00C358E0">
            <w:pPr>
              <w:spacing w:after="0" w:line="240" w:lineRule="auto"/>
              <w:jc w:val="center"/>
              <w:rPr>
                <w:sz w:val="20"/>
                <w:szCs w:val="20"/>
              </w:rPr>
            </w:pPr>
            <w:r w:rsidRPr="00C664D8">
              <w:rPr>
                <w:sz w:val="20"/>
                <w:szCs w:val="20"/>
              </w:rPr>
              <w:t>Bristol – all 252</w:t>
            </w:r>
            <w:r w:rsidR="00B306C3" w:rsidRPr="00C664D8">
              <w:rPr>
                <w:sz w:val="20"/>
                <w:szCs w:val="20"/>
              </w:rPr>
              <w:t xml:space="preserve"> LSOAs</w:t>
            </w:r>
          </w:p>
          <w:p w:rsidR="00C358E0" w:rsidRPr="00C664D8" w:rsidRDefault="00C358E0" w:rsidP="00C358E0">
            <w:pPr>
              <w:spacing w:after="0" w:line="240" w:lineRule="auto"/>
              <w:jc w:val="center"/>
              <w:rPr>
                <w:sz w:val="20"/>
                <w:szCs w:val="20"/>
              </w:rPr>
            </w:pPr>
            <w:r w:rsidRPr="00C664D8">
              <w:rPr>
                <w:sz w:val="20"/>
                <w:szCs w:val="20"/>
              </w:rPr>
              <w:t>North Somerset – all 124</w:t>
            </w:r>
          </w:p>
          <w:p w:rsidR="008F253C" w:rsidRPr="00C664D8" w:rsidRDefault="00C358E0" w:rsidP="00C358E0">
            <w:pPr>
              <w:spacing w:after="0" w:line="240" w:lineRule="auto"/>
              <w:jc w:val="center"/>
              <w:rPr>
                <w:sz w:val="20"/>
                <w:szCs w:val="20"/>
              </w:rPr>
            </w:pPr>
            <w:r w:rsidRPr="00C664D8">
              <w:rPr>
                <w:sz w:val="20"/>
                <w:szCs w:val="20"/>
              </w:rPr>
              <w:t>South Gloucestershire – all 162</w:t>
            </w:r>
          </w:p>
          <w:p w:rsidR="00C358E0" w:rsidRPr="00C664D8" w:rsidRDefault="00C358E0" w:rsidP="00C358E0">
            <w:pPr>
              <w:spacing w:after="0" w:line="240" w:lineRule="auto"/>
              <w:jc w:val="center"/>
              <w:rPr>
                <w:sz w:val="20"/>
                <w:szCs w:val="20"/>
              </w:rPr>
            </w:pPr>
            <w:r w:rsidRPr="00C664D8">
              <w:rPr>
                <w:sz w:val="20"/>
                <w:szCs w:val="20"/>
              </w:rPr>
              <w:t>Stroud – 22 of 69 (32%)</w:t>
            </w:r>
          </w:p>
          <w:p w:rsidR="00C358E0" w:rsidRPr="00C664D8" w:rsidRDefault="00C358E0" w:rsidP="00C358E0">
            <w:pPr>
              <w:spacing w:after="0" w:line="240" w:lineRule="auto"/>
              <w:jc w:val="center"/>
              <w:rPr>
                <w:sz w:val="20"/>
                <w:szCs w:val="20"/>
              </w:rPr>
            </w:pPr>
            <w:r w:rsidRPr="00C664D8">
              <w:rPr>
                <w:sz w:val="20"/>
                <w:szCs w:val="20"/>
              </w:rPr>
              <w:t>Bath &amp; North East Somerset – 17 of 115 (15%)</w:t>
            </w:r>
          </w:p>
        </w:tc>
        <w:tc>
          <w:tcPr>
            <w:tcW w:w="3686" w:type="dxa"/>
            <w:vAlign w:val="center"/>
          </w:tcPr>
          <w:p w:rsidR="003707DD" w:rsidRPr="00C664D8" w:rsidRDefault="003707DD" w:rsidP="003707DD">
            <w:pPr>
              <w:spacing w:after="0" w:line="240" w:lineRule="auto"/>
              <w:jc w:val="center"/>
              <w:rPr>
                <w:sz w:val="20"/>
                <w:szCs w:val="20"/>
              </w:rPr>
            </w:pPr>
            <w:r w:rsidRPr="00C664D8">
              <w:rPr>
                <w:sz w:val="20"/>
                <w:szCs w:val="20"/>
              </w:rPr>
              <w:t>Liverpool – all 291 LSOAs</w:t>
            </w:r>
          </w:p>
          <w:p w:rsidR="003707DD" w:rsidRPr="00C664D8" w:rsidRDefault="003707DD" w:rsidP="003707DD">
            <w:pPr>
              <w:spacing w:after="0" w:line="240" w:lineRule="auto"/>
              <w:jc w:val="center"/>
              <w:rPr>
                <w:sz w:val="20"/>
                <w:szCs w:val="20"/>
              </w:rPr>
            </w:pPr>
            <w:proofErr w:type="spellStart"/>
            <w:r w:rsidRPr="00C664D8">
              <w:rPr>
                <w:sz w:val="20"/>
                <w:szCs w:val="20"/>
              </w:rPr>
              <w:t>Knowsley</w:t>
            </w:r>
            <w:proofErr w:type="spellEnd"/>
            <w:r w:rsidRPr="00C664D8">
              <w:rPr>
                <w:sz w:val="20"/>
                <w:szCs w:val="20"/>
              </w:rPr>
              <w:t xml:space="preserve"> – all 99 </w:t>
            </w:r>
          </w:p>
          <w:p w:rsidR="003707DD" w:rsidRPr="00C664D8" w:rsidRDefault="003707DD" w:rsidP="003707DD">
            <w:pPr>
              <w:spacing w:after="0" w:line="240" w:lineRule="auto"/>
              <w:jc w:val="center"/>
              <w:rPr>
                <w:sz w:val="20"/>
                <w:szCs w:val="20"/>
              </w:rPr>
            </w:pPr>
            <w:proofErr w:type="spellStart"/>
            <w:r w:rsidRPr="00C664D8">
              <w:rPr>
                <w:sz w:val="20"/>
                <w:szCs w:val="20"/>
              </w:rPr>
              <w:t>Sefton</w:t>
            </w:r>
            <w:proofErr w:type="spellEnd"/>
            <w:r w:rsidRPr="00C664D8">
              <w:rPr>
                <w:sz w:val="20"/>
                <w:szCs w:val="20"/>
              </w:rPr>
              <w:t xml:space="preserve"> – all 190</w:t>
            </w:r>
          </w:p>
          <w:p w:rsidR="00846A98" w:rsidRPr="00C664D8" w:rsidRDefault="00846A98" w:rsidP="00DC68FD">
            <w:pPr>
              <w:spacing w:after="0" w:line="240" w:lineRule="auto"/>
              <w:jc w:val="center"/>
              <w:rPr>
                <w:sz w:val="20"/>
                <w:szCs w:val="20"/>
              </w:rPr>
            </w:pPr>
            <w:r w:rsidRPr="00C664D8">
              <w:rPr>
                <w:sz w:val="20"/>
                <w:szCs w:val="20"/>
              </w:rPr>
              <w:t>West Lancashire – 55 of 73 (75%)</w:t>
            </w:r>
          </w:p>
          <w:p w:rsidR="008F253C" w:rsidRPr="00C664D8" w:rsidRDefault="00DC68FD" w:rsidP="00846A98">
            <w:pPr>
              <w:spacing w:after="0" w:line="240" w:lineRule="auto"/>
              <w:jc w:val="center"/>
              <w:rPr>
                <w:sz w:val="20"/>
                <w:szCs w:val="20"/>
              </w:rPr>
            </w:pPr>
            <w:r w:rsidRPr="00C664D8">
              <w:rPr>
                <w:sz w:val="20"/>
                <w:szCs w:val="20"/>
              </w:rPr>
              <w:t>St Helens – 8 of 118 (7%)</w:t>
            </w:r>
          </w:p>
        </w:tc>
      </w:tr>
      <w:tr w:rsidR="003E3B99" w:rsidRPr="00C664D8" w:rsidTr="00C664D8">
        <w:trPr>
          <w:trHeight w:val="1691"/>
        </w:trPr>
        <w:tc>
          <w:tcPr>
            <w:tcW w:w="1701" w:type="dxa"/>
            <w:shd w:val="clear" w:color="auto" w:fill="D9D9D9" w:themeFill="background1" w:themeFillShade="D9"/>
            <w:vAlign w:val="center"/>
          </w:tcPr>
          <w:p w:rsidR="003E3B99" w:rsidRPr="00C664D8" w:rsidRDefault="003E3B99" w:rsidP="00267F3C">
            <w:pPr>
              <w:spacing w:after="0" w:line="240" w:lineRule="auto"/>
              <w:rPr>
                <w:sz w:val="20"/>
                <w:szCs w:val="20"/>
              </w:rPr>
            </w:pPr>
            <w:r w:rsidRPr="00C664D8">
              <w:rPr>
                <w:sz w:val="20"/>
                <w:szCs w:val="20"/>
              </w:rPr>
              <w:t>City-region: narrow definition</w:t>
            </w:r>
          </w:p>
        </w:tc>
        <w:tc>
          <w:tcPr>
            <w:tcW w:w="3544" w:type="dxa"/>
            <w:vAlign w:val="center"/>
          </w:tcPr>
          <w:p w:rsidR="003E3B99" w:rsidRPr="00C664D8" w:rsidRDefault="003E3B99" w:rsidP="000A1445">
            <w:pPr>
              <w:spacing w:after="0" w:line="240" w:lineRule="auto"/>
              <w:jc w:val="center"/>
              <w:rPr>
                <w:sz w:val="20"/>
                <w:szCs w:val="20"/>
              </w:rPr>
            </w:pPr>
            <w:r w:rsidRPr="00C664D8">
              <w:rPr>
                <w:sz w:val="20"/>
                <w:szCs w:val="20"/>
              </w:rPr>
              <w:t>n/a</w:t>
            </w:r>
          </w:p>
        </w:tc>
        <w:tc>
          <w:tcPr>
            <w:tcW w:w="3686" w:type="dxa"/>
            <w:vAlign w:val="center"/>
          </w:tcPr>
          <w:p w:rsidR="003E3B99" w:rsidRPr="00C664D8" w:rsidRDefault="003E3B99" w:rsidP="003E3B99">
            <w:pPr>
              <w:spacing w:after="0" w:line="240" w:lineRule="auto"/>
              <w:jc w:val="center"/>
              <w:rPr>
                <w:sz w:val="20"/>
                <w:szCs w:val="20"/>
              </w:rPr>
            </w:pPr>
            <w:r w:rsidRPr="00C664D8">
              <w:rPr>
                <w:sz w:val="20"/>
                <w:szCs w:val="20"/>
              </w:rPr>
              <w:t>Liverpool</w:t>
            </w:r>
          </w:p>
          <w:p w:rsidR="003E3B99" w:rsidRPr="00C664D8" w:rsidRDefault="003E3B99" w:rsidP="003E3B99">
            <w:pPr>
              <w:spacing w:after="0" w:line="240" w:lineRule="auto"/>
              <w:jc w:val="center"/>
              <w:rPr>
                <w:sz w:val="20"/>
                <w:szCs w:val="20"/>
              </w:rPr>
            </w:pPr>
            <w:proofErr w:type="spellStart"/>
            <w:r w:rsidRPr="00C664D8">
              <w:rPr>
                <w:sz w:val="20"/>
                <w:szCs w:val="20"/>
              </w:rPr>
              <w:t>Knowsley</w:t>
            </w:r>
            <w:proofErr w:type="spellEnd"/>
          </w:p>
          <w:p w:rsidR="003E3B99" w:rsidRPr="00C664D8" w:rsidRDefault="003E3B99" w:rsidP="003E3B99">
            <w:pPr>
              <w:spacing w:after="0" w:line="240" w:lineRule="auto"/>
              <w:jc w:val="center"/>
              <w:rPr>
                <w:sz w:val="20"/>
                <w:szCs w:val="20"/>
              </w:rPr>
            </w:pPr>
            <w:proofErr w:type="spellStart"/>
            <w:r w:rsidRPr="00C664D8">
              <w:rPr>
                <w:sz w:val="20"/>
                <w:szCs w:val="20"/>
              </w:rPr>
              <w:t>Sefton</w:t>
            </w:r>
            <w:proofErr w:type="spellEnd"/>
          </w:p>
          <w:p w:rsidR="003E3B99" w:rsidRPr="00C664D8" w:rsidRDefault="003E3B99" w:rsidP="003E3B99">
            <w:pPr>
              <w:spacing w:after="0" w:line="240" w:lineRule="auto"/>
              <w:jc w:val="center"/>
              <w:rPr>
                <w:sz w:val="20"/>
                <w:szCs w:val="20"/>
              </w:rPr>
            </w:pPr>
            <w:r w:rsidRPr="00C664D8">
              <w:rPr>
                <w:sz w:val="20"/>
                <w:szCs w:val="20"/>
              </w:rPr>
              <w:t>St Helens</w:t>
            </w:r>
          </w:p>
          <w:p w:rsidR="003E3B99" w:rsidRPr="00C664D8" w:rsidRDefault="003E3B99" w:rsidP="003E3B99">
            <w:pPr>
              <w:spacing w:after="0" w:line="240" w:lineRule="auto"/>
              <w:jc w:val="center"/>
              <w:rPr>
                <w:sz w:val="20"/>
                <w:szCs w:val="20"/>
              </w:rPr>
            </w:pPr>
            <w:r w:rsidRPr="00C664D8">
              <w:rPr>
                <w:sz w:val="20"/>
                <w:szCs w:val="20"/>
              </w:rPr>
              <w:t>Wirral</w:t>
            </w:r>
          </w:p>
        </w:tc>
      </w:tr>
      <w:tr w:rsidR="003707DD" w:rsidRPr="00C664D8" w:rsidTr="00C664D8">
        <w:trPr>
          <w:trHeight w:val="1691"/>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7DD" w:rsidRPr="00C664D8" w:rsidRDefault="00267F3C" w:rsidP="00267F3C">
            <w:pPr>
              <w:spacing w:after="0" w:line="240" w:lineRule="auto"/>
              <w:rPr>
                <w:sz w:val="20"/>
                <w:szCs w:val="20"/>
              </w:rPr>
            </w:pPr>
            <w:r w:rsidRPr="00C664D8">
              <w:rPr>
                <w:sz w:val="20"/>
                <w:szCs w:val="20"/>
              </w:rPr>
              <w:t xml:space="preserve">City Region: County definition </w:t>
            </w:r>
            <w:r w:rsidR="003707DD" w:rsidRPr="00C664D8">
              <w:rPr>
                <w:sz w:val="20"/>
                <w:szCs w:val="20"/>
              </w:rPr>
              <w:t>(1971-1984)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7DD" w:rsidRPr="00C664D8" w:rsidRDefault="003707DD" w:rsidP="00B26E74">
            <w:pPr>
              <w:spacing w:after="0" w:line="240" w:lineRule="auto"/>
              <w:jc w:val="center"/>
              <w:rPr>
                <w:sz w:val="20"/>
                <w:szCs w:val="20"/>
              </w:rPr>
            </w:pPr>
            <w:r w:rsidRPr="00C664D8">
              <w:rPr>
                <w:sz w:val="20"/>
                <w:szCs w:val="20"/>
              </w:rPr>
              <w:t>Avon</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7DD" w:rsidRPr="00C664D8" w:rsidRDefault="003707DD" w:rsidP="00B26E74">
            <w:pPr>
              <w:spacing w:after="0" w:line="240" w:lineRule="auto"/>
              <w:jc w:val="center"/>
              <w:rPr>
                <w:sz w:val="20"/>
                <w:szCs w:val="20"/>
              </w:rPr>
            </w:pPr>
            <w:r w:rsidRPr="00C664D8">
              <w:rPr>
                <w:sz w:val="20"/>
                <w:szCs w:val="20"/>
              </w:rPr>
              <w:t xml:space="preserve">Merseyside (Liverpool, </w:t>
            </w:r>
            <w:proofErr w:type="spellStart"/>
            <w:r w:rsidRPr="00C664D8">
              <w:rPr>
                <w:sz w:val="20"/>
                <w:szCs w:val="20"/>
              </w:rPr>
              <w:t>Knowsley</w:t>
            </w:r>
            <w:proofErr w:type="spellEnd"/>
            <w:r w:rsidRPr="00C664D8">
              <w:rPr>
                <w:sz w:val="20"/>
                <w:szCs w:val="20"/>
              </w:rPr>
              <w:t xml:space="preserve">, </w:t>
            </w:r>
            <w:proofErr w:type="spellStart"/>
            <w:r w:rsidRPr="00C664D8">
              <w:rPr>
                <w:sz w:val="20"/>
                <w:szCs w:val="20"/>
              </w:rPr>
              <w:t>Sefton</w:t>
            </w:r>
            <w:proofErr w:type="spellEnd"/>
            <w:r w:rsidRPr="00C664D8">
              <w:rPr>
                <w:sz w:val="20"/>
                <w:szCs w:val="20"/>
              </w:rPr>
              <w:t>, St Helens, Wirral)</w:t>
            </w:r>
          </w:p>
        </w:tc>
      </w:tr>
      <w:tr w:rsidR="003707DD" w:rsidRPr="00C664D8" w:rsidTr="00C664D8">
        <w:trPr>
          <w:trHeight w:val="1691"/>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07DD" w:rsidRPr="00C664D8" w:rsidRDefault="003707DD" w:rsidP="00B26E74">
            <w:pPr>
              <w:spacing w:after="0" w:line="240" w:lineRule="auto"/>
              <w:rPr>
                <w:sz w:val="20"/>
                <w:szCs w:val="20"/>
              </w:rPr>
            </w:pPr>
            <w:r w:rsidRPr="00C664D8">
              <w:rPr>
                <w:sz w:val="20"/>
                <w:szCs w:val="20"/>
              </w:rPr>
              <w:t>City Region Local Enterprise Partnership (LEP)</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7DD" w:rsidRPr="00C664D8" w:rsidRDefault="003707DD" w:rsidP="00B26E74">
            <w:pPr>
              <w:spacing w:after="0" w:line="240" w:lineRule="auto"/>
              <w:jc w:val="center"/>
              <w:rPr>
                <w:sz w:val="20"/>
                <w:szCs w:val="20"/>
              </w:rPr>
            </w:pPr>
            <w:r w:rsidRPr="00C664D8">
              <w:rPr>
                <w:sz w:val="20"/>
                <w:szCs w:val="20"/>
              </w:rPr>
              <w:t>West of England:</w:t>
            </w:r>
          </w:p>
          <w:p w:rsidR="003707DD" w:rsidRPr="00C664D8" w:rsidRDefault="003707DD" w:rsidP="00B26E74">
            <w:pPr>
              <w:spacing w:after="0" w:line="240" w:lineRule="auto"/>
              <w:jc w:val="center"/>
              <w:rPr>
                <w:sz w:val="20"/>
                <w:szCs w:val="20"/>
              </w:rPr>
            </w:pPr>
            <w:r w:rsidRPr="00C664D8">
              <w:rPr>
                <w:sz w:val="20"/>
                <w:szCs w:val="20"/>
              </w:rPr>
              <w:t>Bristol</w:t>
            </w:r>
          </w:p>
          <w:p w:rsidR="003707DD" w:rsidRPr="00C664D8" w:rsidRDefault="003707DD" w:rsidP="00B26E74">
            <w:pPr>
              <w:spacing w:after="0" w:line="240" w:lineRule="auto"/>
              <w:jc w:val="center"/>
              <w:rPr>
                <w:sz w:val="20"/>
                <w:szCs w:val="20"/>
              </w:rPr>
            </w:pPr>
            <w:r w:rsidRPr="00C664D8">
              <w:rPr>
                <w:sz w:val="20"/>
                <w:szCs w:val="20"/>
              </w:rPr>
              <w:t>Bath and North East Somerset</w:t>
            </w:r>
          </w:p>
          <w:p w:rsidR="003707DD" w:rsidRPr="00C664D8" w:rsidRDefault="003707DD" w:rsidP="00B26E74">
            <w:pPr>
              <w:spacing w:after="0" w:line="240" w:lineRule="auto"/>
              <w:jc w:val="center"/>
              <w:rPr>
                <w:sz w:val="20"/>
                <w:szCs w:val="20"/>
              </w:rPr>
            </w:pPr>
            <w:r w:rsidRPr="00C664D8">
              <w:rPr>
                <w:sz w:val="20"/>
                <w:szCs w:val="20"/>
              </w:rPr>
              <w:t>North Somerset</w:t>
            </w:r>
          </w:p>
          <w:p w:rsidR="003707DD" w:rsidRPr="00C664D8" w:rsidRDefault="003707DD" w:rsidP="00B26E74">
            <w:pPr>
              <w:spacing w:after="0" w:line="240" w:lineRule="auto"/>
              <w:jc w:val="center"/>
              <w:rPr>
                <w:sz w:val="20"/>
                <w:szCs w:val="20"/>
              </w:rPr>
            </w:pPr>
            <w:r w:rsidRPr="00C664D8">
              <w:rPr>
                <w:sz w:val="20"/>
                <w:szCs w:val="20"/>
              </w:rPr>
              <w:t>South Gloucestershire</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7DD" w:rsidRPr="00C664D8" w:rsidRDefault="003707DD" w:rsidP="00B26E74">
            <w:pPr>
              <w:spacing w:after="0" w:line="240" w:lineRule="auto"/>
              <w:jc w:val="center"/>
              <w:rPr>
                <w:sz w:val="20"/>
                <w:szCs w:val="20"/>
              </w:rPr>
            </w:pPr>
          </w:p>
          <w:p w:rsidR="003707DD" w:rsidRPr="00C664D8" w:rsidRDefault="003707DD" w:rsidP="00B26E74">
            <w:pPr>
              <w:spacing w:after="0" w:line="240" w:lineRule="auto"/>
              <w:jc w:val="center"/>
              <w:rPr>
                <w:sz w:val="20"/>
                <w:szCs w:val="20"/>
              </w:rPr>
            </w:pPr>
            <w:r w:rsidRPr="00C664D8">
              <w:rPr>
                <w:sz w:val="20"/>
                <w:szCs w:val="20"/>
              </w:rPr>
              <w:t>Liverpool City Region:</w:t>
            </w:r>
          </w:p>
          <w:p w:rsidR="003707DD" w:rsidRPr="00C664D8" w:rsidRDefault="003707DD" w:rsidP="00B26E74">
            <w:pPr>
              <w:spacing w:after="0" w:line="240" w:lineRule="auto"/>
              <w:jc w:val="center"/>
              <w:rPr>
                <w:sz w:val="20"/>
                <w:szCs w:val="20"/>
              </w:rPr>
            </w:pPr>
            <w:r w:rsidRPr="00C664D8">
              <w:rPr>
                <w:sz w:val="20"/>
                <w:szCs w:val="20"/>
              </w:rPr>
              <w:t>Liverpool</w:t>
            </w:r>
          </w:p>
          <w:p w:rsidR="003707DD" w:rsidRPr="00C664D8" w:rsidRDefault="003707DD" w:rsidP="00B26E74">
            <w:pPr>
              <w:spacing w:after="0" w:line="240" w:lineRule="auto"/>
              <w:jc w:val="center"/>
              <w:rPr>
                <w:sz w:val="20"/>
                <w:szCs w:val="20"/>
              </w:rPr>
            </w:pPr>
            <w:proofErr w:type="spellStart"/>
            <w:r w:rsidRPr="00C664D8">
              <w:rPr>
                <w:sz w:val="20"/>
                <w:szCs w:val="20"/>
              </w:rPr>
              <w:t>Halton</w:t>
            </w:r>
            <w:proofErr w:type="spellEnd"/>
          </w:p>
          <w:p w:rsidR="003707DD" w:rsidRPr="00C664D8" w:rsidRDefault="003707DD" w:rsidP="00B26E74">
            <w:pPr>
              <w:spacing w:after="0" w:line="240" w:lineRule="auto"/>
              <w:jc w:val="center"/>
              <w:rPr>
                <w:sz w:val="20"/>
                <w:szCs w:val="20"/>
              </w:rPr>
            </w:pPr>
            <w:proofErr w:type="spellStart"/>
            <w:r w:rsidRPr="00C664D8">
              <w:rPr>
                <w:sz w:val="20"/>
                <w:szCs w:val="20"/>
              </w:rPr>
              <w:t>Knowsley</w:t>
            </w:r>
            <w:proofErr w:type="spellEnd"/>
          </w:p>
          <w:p w:rsidR="003707DD" w:rsidRPr="00C664D8" w:rsidRDefault="003707DD" w:rsidP="00B26E74">
            <w:pPr>
              <w:spacing w:after="0" w:line="240" w:lineRule="auto"/>
              <w:jc w:val="center"/>
              <w:rPr>
                <w:sz w:val="20"/>
                <w:szCs w:val="20"/>
              </w:rPr>
            </w:pPr>
            <w:proofErr w:type="spellStart"/>
            <w:r w:rsidRPr="00C664D8">
              <w:rPr>
                <w:sz w:val="20"/>
                <w:szCs w:val="20"/>
              </w:rPr>
              <w:t>Sefton</w:t>
            </w:r>
            <w:proofErr w:type="spellEnd"/>
          </w:p>
          <w:p w:rsidR="003707DD" w:rsidRPr="00C664D8" w:rsidRDefault="003707DD" w:rsidP="00B26E74">
            <w:pPr>
              <w:spacing w:after="0" w:line="240" w:lineRule="auto"/>
              <w:jc w:val="center"/>
              <w:rPr>
                <w:sz w:val="20"/>
                <w:szCs w:val="20"/>
              </w:rPr>
            </w:pPr>
            <w:r w:rsidRPr="00C664D8">
              <w:rPr>
                <w:sz w:val="20"/>
                <w:szCs w:val="20"/>
              </w:rPr>
              <w:t>St Helens</w:t>
            </w:r>
          </w:p>
          <w:p w:rsidR="003707DD" w:rsidRPr="00C664D8" w:rsidRDefault="003707DD" w:rsidP="00B26E74">
            <w:pPr>
              <w:spacing w:after="0" w:line="240" w:lineRule="auto"/>
              <w:jc w:val="center"/>
              <w:rPr>
                <w:sz w:val="20"/>
                <w:szCs w:val="20"/>
              </w:rPr>
            </w:pPr>
            <w:r w:rsidRPr="00C664D8">
              <w:rPr>
                <w:sz w:val="20"/>
                <w:szCs w:val="20"/>
              </w:rPr>
              <w:t>Wirral</w:t>
            </w:r>
          </w:p>
        </w:tc>
      </w:tr>
    </w:tbl>
    <w:p w:rsidR="008F253C" w:rsidRPr="008F253C" w:rsidRDefault="008F253C" w:rsidP="008F253C">
      <w:pPr>
        <w:jc w:val="both"/>
      </w:pPr>
    </w:p>
    <w:p w:rsidR="00E51AFF" w:rsidRDefault="005632E0">
      <w:pPr>
        <w:rPr>
          <w:b/>
          <w:bCs/>
        </w:rPr>
      </w:pPr>
      <w:r>
        <w:rPr>
          <w:b/>
          <w:bCs/>
        </w:rPr>
        <w:lastRenderedPageBreak/>
        <w:t xml:space="preserve">Slide </w:t>
      </w:r>
      <w:r w:rsidR="00E51AFF">
        <w:rPr>
          <w:b/>
          <w:bCs/>
        </w:rPr>
        <w:t>5</w:t>
      </w:r>
      <w:r w:rsidR="00C831EA">
        <w:rPr>
          <w:b/>
          <w:bCs/>
        </w:rPr>
        <w:t>:</w:t>
      </w:r>
      <w:r w:rsidR="00E51AFF">
        <w:rPr>
          <w:b/>
          <w:bCs/>
        </w:rPr>
        <w:t xml:space="preserve">  </w:t>
      </w:r>
      <w:r w:rsidR="00E51AFF" w:rsidRPr="00E51AFF">
        <w:rPr>
          <w:b/>
          <w:bCs/>
        </w:rPr>
        <w:t>Great Recession – in UK the latest in 4 post-war recessions</w:t>
      </w:r>
    </w:p>
    <w:p w:rsidR="009271D9" w:rsidRPr="00E5302B" w:rsidRDefault="009271D9" w:rsidP="00F2646C">
      <w:pPr>
        <w:ind w:firstLine="720"/>
        <w:rPr>
          <w:bCs/>
        </w:rPr>
      </w:pPr>
      <w:r w:rsidRPr="00E5302B">
        <w:rPr>
          <w:bCs/>
        </w:rPr>
        <w:t xml:space="preserve">Source: </w:t>
      </w:r>
      <w:r w:rsidRPr="00E5302B">
        <w:rPr>
          <w:bCs/>
          <w:i/>
        </w:rPr>
        <w:t>Guardian</w:t>
      </w:r>
      <w:r w:rsidRPr="00E5302B">
        <w:rPr>
          <w:bCs/>
        </w:rPr>
        <w:t xml:space="preserve"> &amp; ONS; GDP figures show real change</w:t>
      </w:r>
    </w:p>
    <w:p w:rsidR="00E51AFF" w:rsidRDefault="005632E0">
      <w:pPr>
        <w:rPr>
          <w:b/>
          <w:bCs/>
        </w:rPr>
      </w:pPr>
      <w:r w:rsidRPr="005632E0">
        <w:rPr>
          <w:b/>
          <w:bCs/>
        </w:rPr>
        <w:t xml:space="preserve">Slide </w:t>
      </w:r>
      <w:r w:rsidR="00E51AFF">
        <w:rPr>
          <w:b/>
          <w:bCs/>
        </w:rPr>
        <w:t>6</w:t>
      </w:r>
      <w:r w:rsidR="00C831EA">
        <w:rPr>
          <w:b/>
          <w:bCs/>
        </w:rPr>
        <w:t xml:space="preserve">: </w:t>
      </w:r>
      <w:r w:rsidR="00E51AFF" w:rsidRPr="00E51AFF">
        <w:rPr>
          <w:b/>
          <w:bCs/>
        </w:rPr>
        <w:t xml:space="preserve"> </w:t>
      </w:r>
      <w:r w:rsidR="00C831EA">
        <w:rPr>
          <w:b/>
          <w:bCs/>
        </w:rPr>
        <w:t>C</w:t>
      </w:r>
      <w:r w:rsidR="00E51AFF" w:rsidRPr="00E51AFF">
        <w:rPr>
          <w:b/>
          <w:bCs/>
        </w:rPr>
        <w:t>ity-regions, 2 different development trajectories</w:t>
      </w:r>
    </w:p>
    <w:p w:rsidR="003F19B1" w:rsidRDefault="003F19B1" w:rsidP="00F2646C">
      <w:pPr>
        <w:spacing w:after="0"/>
        <w:ind w:left="720"/>
        <w:jc w:val="both"/>
      </w:pPr>
      <w:r w:rsidRPr="00C831EA">
        <w:t xml:space="preserve">Sources: Census of </w:t>
      </w:r>
      <w:r w:rsidR="00C664D8">
        <w:t>E</w:t>
      </w:r>
      <w:r w:rsidRPr="00C831EA">
        <w:t xml:space="preserve">mployment - </w:t>
      </w:r>
      <w:r w:rsidR="00C664D8">
        <w:t>E</w:t>
      </w:r>
      <w:r w:rsidRPr="00C831EA">
        <w:t xml:space="preserve">mployee </w:t>
      </w:r>
      <w:r w:rsidR="00C664D8">
        <w:t>A</w:t>
      </w:r>
      <w:r w:rsidRPr="00C831EA">
        <w:t xml:space="preserve">nalysis 1971-1984; Census of </w:t>
      </w:r>
      <w:r w:rsidR="00C664D8">
        <w:t>E</w:t>
      </w:r>
      <w:r w:rsidRPr="00C831EA">
        <w:t xml:space="preserve">mployment – </w:t>
      </w:r>
      <w:r w:rsidR="00C664D8">
        <w:t>E</w:t>
      </w:r>
      <w:r w:rsidRPr="00C831EA">
        <w:t xml:space="preserve">mployee </w:t>
      </w:r>
      <w:r w:rsidR="00C664D8">
        <w:t>A</w:t>
      </w:r>
      <w:r w:rsidRPr="00C831EA">
        <w:t xml:space="preserve">nalysis 1984-1991; </w:t>
      </w:r>
      <w:r w:rsidR="00C664D8">
        <w:t>A</w:t>
      </w:r>
      <w:r w:rsidRPr="00C831EA">
        <w:t xml:space="preserve">nnual </w:t>
      </w:r>
      <w:r w:rsidR="00C664D8">
        <w:t>E</w:t>
      </w:r>
      <w:r w:rsidRPr="00C831EA">
        <w:t xml:space="preserve">mployment </w:t>
      </w:r>
      <w:r w:rsidR="00C664D8">
        <w:t>S</w:t>
      </w:r>
      <w:r w:rsidRPr="00C831EA">
        <w:t xml:space="preserve">urvey </w:t>
      </w:r>
      <w:r w:rsidR="00C664D8">
        <w:t>E</w:t>
      </w:r>
      <w:r w:rsidRPr="00C831EA">
        <w:t xml:space="preserve">mployee </w:t>
      </w:r>
      <w:r w:rsidR="00C664D8">
        <w:t>A</w:t>
      </w:r>
      <w:r w:rsidRPr="00C831EA">
        <w:t xml:space="preserve">nalysis 1991-1998; </w:t>
      </w:r>
      <w:r w:rsidR="00C664D8">
        <w:t>A</w:t>
      </w:r>
      <w:r w:rsidRPr="00C831EA">
        <w:t xml:space="preserve">nnual </w:t>
      </w:r>
      <w:r w:rsidR="00C664D8">
        <w:t>B</w:t>
      </w:r>
      <w:r w:rsidRPr="00C831EA">
        <w:t xml:space="preserve">usiness </w:t>
      </w:r>
      <w:r w:rsidR="00C664D8">
        <w:t>I</w:t>
      </w:r>
      <w:r w:rsidRPr="00C831EA">
        <w:t xml:space="preserve">nquiry </w:t>
      </w:r>
      <w:r w:rsidR="00C664D8">
        <w:t>E</w:t>
      </w:r>
      <w:r w:rsidRPr="00C831EA">
        <w:t xml:space="preserve">mployee </w:t>
      </w:r>
      <w:r w:rsidR="00C664D8">
        <w:t>A</w:t>
      </w:r>
      <w:r w:rsidRPr="00C831EA">
        <w:t xml:space="preserve">nalysis 1998-2008; </w:t>
      </w:r>
      <w:r w:rsidR="00C664D8">
        <w:t>B</w:t>
      </w:r>
      <w:r w:rsidRPr="00C831EA">
        <w:t xml:space="preserve">usiness </w:t>
      </w:r>
      <w:r w:rsidR="00C664D8">
        <w:t>R</w:t>
      </w:r>
      <w:r w:rsidRPr="00C831EA">
        <w:t xml:space="preserve">egister and </w:t>
      </w:r>
      <w:r w:rsidR="00C664D8">
        <w:t>E</w:t>
      </w:r>
      <w:r w:rsidRPr="00C831EA">
        <w:t xml:space="preserve">mployment </w:t>
      </w:r>
      <w:r w:rsidR="00C664D8">
        <w:t>S</w:t>
      </w:r>
      <w:r w:rsidRPr="00C831EA">
        <w:t>urvey 2008-2010 &amp; 2010-11</w:t>
      </w:r>
    </w:p>
    <w:p w:rsidR="003F02DE" w:rsidRDefault="003F02DE" w:rsidP="003F19B1">
      <w:pPr>
        <w:spacing w:after="0"/>
        <w:jc w:val="both"/>
      </w:pPr>
    </w:p>
    <w:p w:rsidR="00267F3C" w:rsidRDefault="003F02DE" w:rsidP="00F2646C">
      <w:pPr>
        <w:spacing w:after="0"/>
        <w:ind w:left="720"/>
        <w:jc w:val="both"/>
      </w:pPr>
      <w:r>
        <w:t xml:space="preserve">Bristol boundaries: City-region (County based) for 1971-1984; </w:t>
      </w:r>
      <w:r w:rsidR="007A4167">
        <w:t>main city-region definitions 1984-2011</w:t>
      </w:r>
    </w:p>
    <w:p w:rsidR="003E3B99" w:rsidRPr="00C831EA" w:rsidRDefault="003E3B99" w:rsidP="00F2646C">
      <w:pPr>
        <w:spacing w:after="0"/>
        <w:ind w:left="720"/>
        <w:jc w:val="both"/>
      </w:pPr>
      <w:r>
        <w:t xml:space="preserve">Liverpool boundaries: City-region (County based) for 1971-1984; </w:t>
      </w:r>
      <w:r w:rsidR="00147D61">
        <w:t>City-region (narrow definition) for 1984-2011</w:t>
      </w:r>
    </w:p>
    <w:p w:rsidR="00224017" w:rsidRDefault="00224017" w:rsidP="00EB3819">
      <w:pPr>
        <w:spacing w:after="0"/>
        <w:jc w:val="both"/>
      </w:pPr>
    </w:p>
    <w:p w:rsidR="00DE2B6E" w:rsidRDefault="003F19B1" w:rsidP="00DE2B6E">
      <w:pPr>
        <w:ind w:left="720"/>
        <w:jc w:val="both"/>
      </w:pPr>
      <w:r w:rsidRPr="00C831EA">
        <w:t xml:space="preserve">The county approximations used for the earlier time period, 1971-1984 are shown </w:t>
      </w:r>
      <w:r w:rsidR="00894658">
        <w:t xml:space="preserve">in Table 2 </w:t>
      </w:r>
      <w:r w:rsidRPr="00C831EA">
        <w:t>below:</w:t>
      </w:r>
    </w:p>
    <w:p w:rsidR="00284155" w:rsidRPr="00284155" w:rsidRDefault="00284155" w:rsidP="00DE2B6E">
      <w:pPr>
        <w:ind w:left="-142"/>
        <w:jc w:val="both"/>
        <w:rPr>
          <w:b/>
        </w:rPr>
      </w:pPr>
      <w:r w:rsidRPr="00284155">
        <w:rPr>
          <w:b/>
        </w:rPr>
        <w:t>Table 2: County approximations of the city-regions</w:t>
      </w:r>
    </w:p>
    <w:tbl>
      <w:tblPr>
        <w:tblStyle w:val="TableGrid"/>
        <w:tblW w:w="9180" w:type="dxa"/>
        <w:tblLook w:val="04A0" w:firstRow="1" w:lastRow="0" w:firstColumn="1" w:lastColumn="0" w:noHBand="0" w:noVBand="1"/>
      </w:tblPr>
      <w:tblGrid>
        <w:gridCol w:w="3510"/>
        <w:gridCol w:w="5670"/>
      </w:tblGrid>
      <w:tr w:rsidR="003F19B1" w:rsidRPr="00C664D8" w:rsidTr="00A23736">
        <w:trPr>
          <w:trHeight w:val="255"/>
        </w:trPr>
        <w:tc>
          <w:tcPr>
            <w:tcW w:w="3510" w:type="dxa"/>
            <w:shd w:val="pct62" w:color="auto" w:fill="auto"/>
            <w:noWrap/>
            <w:hideMark/>
          </w:tcPr>
          <w:p w:rsidR="003F19B1" w:rsidRPr="00C664D8" w:rsidRDefault="003F19B1" w:rsidP="00674293">
            <w:pPr>
              <w:jc w:val="both"/>
              <w:rPr>
                <w:rFonts w:eastAsia="Times New Roman" w:cs="Arial"/>
                <w:b/>
                <w:bCs/>
                <w:color w:val="FFFFFF" w:themeColor="background1"/>
                <w:sz w:val="20"/>
                <w:szCs w:val="20"/>
              </w:rPr>
            </w:pPr>
            <w:r w:rsidRPr="00C664D8">
              <w:rPr>
                <w:rFonts w:eastAsia="Times New Roman" w:cs="Arial"/>
                <w:b/>
                <w:bCs/>
                <w:color w:val="FFFFFF" w:themeColor="background1"/>
                <w:sz w:val="20"/>
                <w:szCs w:val="20"/>
              </w:rPr>
              <w:t>City-region</w:t>
            </w:r>
          </w:p>
        </w:tc>
        <w:tc>
          <w:tcPr>
            <w:tcW w:w="5670" w:type="dxa"/>
            <w:shd w:val="pct62" w:color="auto" w:fill="auto"/>
            <w:noWrap/>
            <w:hideMark/>
          </w:tcPr>
          <w:p w:rsidR="003F19B1" w:rsidRPr="00C664D8" w:rsidRDefault="003F19B1" w:rsidP="00A23736">
            <w:pPr>
              <w:jc w:val="both"/>
              <w:rPr>
                <w:rFonts w:eastAsia="Times New Roman" w:cs="Arial"/>
                <w:b/>
                <w:bCs/>
                <w:color w:val="FFFFFF" w:themeColor="background1"/>
                <w:sz w:val="20"/>
                <w:szCs w:val="20"/>
              </w:rPr>
            </w:pPr>
            <w:r w:rsidRPr="00C664D8">
              <w:rPr>
                <w:rFonts w:eastAsia="Times New Roman" w:cs="Arial"/>
                <w:b/>
                <w:bCs/>
                <w:color w:val="FFFFFF" w:themeColor="background1"/>
                <w:sz w:val="20"/>
                <w:szCs w:val="20"/>
              </w:rPr>
              <w:t>County Approximations used for 1971-1984</w:t>
            </w:r>
          </w:p>
        </w:tc>
      </w:tr>
      <w:tr w:rsidR="003F19B1" w:rsidRPr="00C664D8" w:rsidTr="00A23736">
        <w:trPr>
          <w:trHeight w:val="241"/>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 xml:space="preserve">London </w:t>
            </w:r>
          </w:p>
        </w:tc>
        <w:tc>
          <w:tcPr>
            <w:tcW w:w="5670" w:type="dxa"/>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Greater London; Essex; Hertfordshire; &amp; Surrey</w:t>
            </w:r>
          </w:p>
        </w:tc>
      </w:tr>
      <w:tr w:rsidR="003F19B1" w:rsidRPr="00C664D8" w:rsidTr="00A23736">
        <w:trPr>
          <w:trHeight w:val="259"/>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Birmingham</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West Midlands</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Manchester</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Greater Manchester</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Glasgow</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Strathclyde</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Liverpool</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Merseyside</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Leeds</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West Yorkshire</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Newcastle upon Tyne</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Northumberland; Tyne &amp; Wear</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Sheffield</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South Yorkshire</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Bristol</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Avon</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Cardiff</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Mid Glamorgan; &amp; South Glamorgan</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Nottingham</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Nottinghamshire</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Edinburgh</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Lothian</w:t>
            </w:r>
          </w:p>
        </w:tc>
      </w:tr>
      <w:tr w:rsidR="003F19B1" w:rsidRPr="00C664D8" w:rsidTr="00A23736">
        <w:trPr>
          <w:trHeight w:val="255"/>
        </w:trPr>
        <w:tc>
          <w:tcPr>
            <w:tcW w:w="351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Leicester</w:t>
            </w:r>
          </w:p>
        </w:tc>
        <w:tc>
          <w:tcPr>
            <w:tcW w:w="5670" w:type="dxa"/>
            <w:noWrap/>
            <w:hideMark/>
          </w:tcPr>
          <w:p w:rsidR="003F19B1" w:rsidRPr="00C664D8" w:rsidRDefault="003F19B1" w:rsidP="00A23736">
            <w:pPr>
              <w:jc w:val="both"/>
              <w:rPr>
                <w:rFonts w:eastAsia="Times New Roman" w:cs="Arial"/>
                <w:sz w:val="20"/>
                <w:szCs w:val="20"/>
              </w:rPr>
            </w:pPr>
            <w:r w:rsidRPr="00C664D8">
              <w:rPr>
                <w:rFonts w:eastAsia="Times New Roman" w:cs="Arial"/>
                <w:sz w:val="20"/>
                <w:szCs w:val="20"/>
              </w:rPr>
              <w:t>Leicestershire</w:t>
            </w:r>
          </w:p>
        </w:tc>
      </w:tr>
    </w:tbl>
    <w:p w:rsidR="00C664D8" w:rsidRDefault="00C664D8" w:rsidP="003F19B1">
      <w:pPr>
        <w:spacing w:after="120"/>
        <w:jc w:val="both"/>
      </w:pPr>
    </w:p>
    <w:p w:rsidR="00F7574C" w:rsidRDefault="003F19B1" w:rsidP="003F19B1">
      <w:pPr>
        <w:spacing w:after="120"/>
        <w:jc w:val="both"/>
      </w:pPr>
      <w:r w:rsidRPr="00BD5968">
        <w:t>Caveats:</w:t>
      </w:r>
      <w:r>
        <w:t xml:space="preserve"> </w:t>
      </w:r>
    </w:p>
    <w:p w:rsidR="003F19B1" w:rsidRDefault="003F19B1" w:rsidP="00F7574C">
      <w:pPr>
        <w:pStyle w:val="ListParagraph"/>
        <w:numPr>
          <w:ilvl w:val="0"/>
          <w:numId w:val="1"/>
        </w:numPr>
        <w:spacing w:after="120"/>
        <w:jc w:val="both"/>
      </w:pPr>
      <w:r w:rsidRPr="0077045D">
        <w:t xml:space="preserve">All data </w:t>
      </w:r>
      <w:r>
        <w:t xml:space="preserve">from 1989 </w:t>
      </w:r>
      <w:r w:rsidRPr="0077045D">
        <w:t>- except GB figures - exclude agriculture (SIC class 0100)</w:t>
      </w:r>
      <w:r>
        <w:t xml:space="preserve"> employment</w:t>
      </w:r>
    </w:p>
    <w:p w:rsidR="003F19B1" w:rsidRPr="0077045D" w:rsidRDefault="003F19B1" w:rsidP="00F7574C">
      <w:pPr>
        <w:pStyle w:val="ListParagraph"/>
        <w:numPr>
          <w:ilvl w:val="0"/>
          <w:numId w:val="1"/>
        </w:numPr>
        <w:spacing w:after="120"/>
        <w:jc w:val="both"/>
      </w:pPr>
      <w:r>
        <w:t>Data for following years are estimated, assuming constant trends between available data points: 1979, 1980, 1982, 1983, 1985, 1986, 1988, 1990, 1992, and 1994.</w:t>
      </w:r>
    </w:p>
    <w:p w:rsidR="003F19B1" w:rsidRPr="0077045D" w:rsidRDefault="003F19B1" w:rsidP="00F7574C">
      <w:pPr>
        <w:pStyle w:val="ListParagraph"/>
        <w:numPr>
          <w:ilvl w:val="0"/>
          <w:numId w:val="1"/>
        </w:numPr>
        <w:jc w:val="both"/>
      </w:pPr>
      <w:r>
        <w:t>Health Warnings</w:t>
      </w:r>
      <w:r w:rsidRPr="0077045D">
        <w:t xml:space="preserve">: </w:t>
      </w:r>
      <w:r>
        <w:t xml:space="preserve">There is a data discontinuity between 2005 and 2006 </w:t>
      </w:r>
      <w:r w:rsidRPr="0077045D">
        <w:t xml:space="preserve">mainly due to a change in the survey reference date. </w:t>
      </w:r>
      <w:r>
        <w:t xml:space="preserve"> There are data discontinuities between 2009 and 2011, in regard to numbers of employees, due to improved accuracy in the classification of ‘working owners’ who should be classed as ‘employees’ rather than ‘self-employed’.  2010 estimates suggest that this classification change may have resulted in a 1.9% increase in the reported number of employees nationally.</w:t>
      </w:r>
    </w:p>
    <w:p w:rsidR="00DE2B6E" w:rsidRDefault="00DE2B6E">
      <w:pPr>
        <w:rPr>
          <w:b/>
          <w:bCs/>
        </w:rPr>
      </w:pPr>
    </w:p>
    <w:p w:rsidR="00E51AFF" w:rsidRDefault="005632E0">
      <w:pPr>
        <w:rPr>
          <w:b/>
          <w:bCs/>
        </w:rPr>
      </w:pPr>
      <w:r w:rsidRPr="005632E0">
        <w:rPr>
          <w:b/>
          <w:bCs/>
        </w:rPr>
        <w:lastRenderedPageBreak/>
        <w:t xml:space="preserve">Slide </w:t>
      </w:r>
      <w:r w:rsidR="00E51AFF">
        <w:rPr>
          <w:b/>
          <w:bCs/>
        </w:rPr>
        <w:t>7</w:t>
      </w:r>
      <w:r w:rsidR="00C831EA">
        <w:rPr>
          <w:b/>
          <w:bCs/>
        </w:rPr>
        <w:t>:</w:t>
      </w:r>
      <w:r w:rsidR="00E51AFF">
        <w:rPr>
          <w:b/>
          <w:bCs/>
        </w:rPr>
        <w:t xml:space="preserve"> </w:t>
      </w:r>
      <w:r w:rsidR="00E51AFF" w:rsidRPr="00E51AFF">
        <w:rPr>
          <w:b/>
          <w:bCs/>
        </w:rPr>
        <w:t>City-regions entering recession – employment change (%) 1997-2008</w:t>
      </w:r>
    </w:p>
    <w:p w:rsidR="00F7574C" w:rsidRDefault="00F54AFC" w:rsidP="00F2646C">
      <w:pPr>
        <w:ind w:left="720"/>
        <w:rPr>
          <w:bCs/>
        </w:rPr>
      </w:pPr>
      <w:r>
        <w:rPr>
          <w:bCs/>
        </w:rPr>
        <w:t xml:space="preserve">Sources: </w:t>
      </w:r>
      <w:r w:rsidR="00C664D8">
        <w:rPr>
          <w:bCs/>
        </w:rPr>
        <w:t>A</w:t>
      </w:r>
      <w:r w:rsidRPr="00F54AFC">
        <w:rPr>
          <w:bCs/>
        </w:rPr>
        <w:t xml:space="preserve">nnual </w:t>
      </w:r>
      <w:r w:rsidR="00C664D8">
        <w:rPr>
          <w:bCs/>
        </w:rPr>
        <w:t>E</w:t>
      </w:r>
      <w:r w:rsidRPr="00F54AFC">
        <w:rPr>
          <w:bCs/>
        </w:rPr>
        <w:t xml:space="preserve">mployment </w:t>
      </w:r>
      <w:r w:rsidR="00C664D8">
        <w:rPr>
          <w:bCs/>
        </w:rPr>
        <w:t>S</w:t>
      </w:r>
      <w:r w:rsidRPr="00F54AFC">
        <w:rPr>
          <w:bCs/>
        </w:rPr>
        <w:t xml:space="preserve">urvey </w:t>
      </w:r>
      <w:r w:rsidR="00C664D8">
        <w:rPr>
          <w:bCs/>
        </w:rPr>
        <w:t>E</w:t>
      </w:r>
      <w:r w:rsidRPr="00F54AFC">
        <w:rPr>
          <w:bCs/>
        </w:rPr>
        <w:t xml:space="preserve">mployee </w:t>
      </w:r>
      <w:r w:rsidR="00C664D8">
        <w:rPr>
          <w:bCs/>
        </w:rPr>
        <w:t>A</w:t>
      </w:r>
      <w:r w:rsidRPr="00F54AFC">
        <w:rPr>
          <w:bCs/>
        </w:rPr>
        <w:t>nalysis</w:t>
      </w:r>
      <w:r w:rsidR="003E4680">
        <w:rPr>
          <w:bCs/>
        </w:rPr>
        <w:t xml:space="preserve">; </w:t>
      </w:r>
      <w:r w:rsidRPr="00F54AFC">
        <w:rPr>
          <w:bCs/>
        </w:rPr>
        <w:t xml:space="preserve">&amp; </w:t>
      </w:r>
      <w:r w:rsidR="00C664D8">
        <w:rPr>
          <w:bCs/>
        </w:rPr>
        <w:t>A</w:t>
      </w:r>
      <w:r w:rsidRPr="00F54AFC">
        <w:rPr>
          <w:bCs/>
        </w:rPr>
        <w:t xml:space="preserve">nnual </w:t>
      </w:r>
      <w:r w:rsidR="00C664D8">
        <w:rPr>
          <w:bCs/>
        </w:rPr>
        <w:t>B</w:t>
      </w:r>
      <w:r w:rsidRPr="00F54AFC">
        <w:rPr>
          <w:bCs/>
        </w:rPr>
        <w:t>u</w:t>
      </w:r>
      <w:r>
        <w:rPr>
          <w:bCs/>
        </w:rPr>
        <w:t xml:space="preserve">siness </w:t>
      </w:r>
      <w:r w:rsidR="00C664D8">
        <w:rPr>
          <w:bCs/>
        </w:rPr>
        <w:t>I</w:t>
      </w:r>
      <w:r>
        <w:rPr>
          <w:bCs/>
        </w:rPr>
        <w:t>nquiry employee analysis</w:t>
      </w:r>
      <w:r w:rsidR="00F7574C">
        <w:rPr>
          <w:bCs/>
        </w:rPr>
        <w:t>.</w:t>
      </w:r>
      <w:r>
        <w:rPr>
          <w:bCs/>
        </w:rPr>
        <w:t xml:space="preserve"> </w:t>
      </w:r>
    </w:p>
    <w:p w:rsidR="00E51AFF" w:rsidRDefault="005632E0">
      <w:pPr>
        <w:rPr>
          <w:b/>
          <w:bCs/>
        </w:rPr>
      </w:pPr>
      <w:r w:rsidRPr="005632E0">
        <w:rPr>
          <w:b/>
          <w:bCs/>
        </w:rPr>
        <w:t xml:space="preserve">Slide </w:t>
      </w:r>
      <w:r w:rsidR="00C831EA">
        <w:rPr>
          <w:b/>
          <w:bCs/>
        </w:rPr>
        <w:t xml:space="preserve">8: </w:t>
      </w:r>
      <w:r w:rsidR="00E51AFF" w:rsidRPr="00E51AFF">
        <w:rPr>
          <w:b/>
          <w:bCs/>
        </w:rPr>
        <w:t>City-regions entering recession – population change (%) 1997-2008</w:t>
      </w:r>
    </w:p>
    <w:p w:rsidR="00C5418F" w:rsidRDefault="00F24064" w:rsidP="00F2646C">
      <w:pPr>
        <w:ind w:firstLine="720"/>
        <w:rPr>
          <w:bCs/>
        </w:rPr>
      </w:pPr>
      <w:r>
        <w:rPr>
          <w:bCs/>
        </w:rPr>
        <w:t>Source: ONS/</w:t>
      </w:r>
      <w:proofErr w:type="spellStart"/>
      <w:r>
        <w:rPr>
          <w:bCs/>
        </w:rPr>
        <w:t>Nomis</w:t>
      </w:r>
      <w:proofErr w:type="spellEnd"/>
      <w:r>
        <w:rPr>
          <w:bCs/>
        </w:rPr>
        <w:t xml:space="preserve"> Mid-Year Population Estimates</w:t>
      </w:r>
    </w:p>
    <w:p w:rsidR="00E51AFF" w:rsidRDefault="005632E0">
      <w:pPr>
        <w:rPr>
          <w:b/>
          <w:bCs/>
        </w:rPr>
      </w:pPr>
      <w:r w:rsidRPr="005632E0">
        <w:rPr>
          <w:b/>
          <w:bCs/>
        </w:rPr>
        <w:t xml:space="preserve">Slide </w:t>
      </w:r>
      <w:r w:rsidR="00E51AFF">
        <w:rPr>
          <w:b/>
          <w:bCs/>
        </w:rPr>
        <w:t>9</w:t>
      </w:r>
      <w:r w:rsidR="00C831EA">
        <w:rPr>
          <w:b/>
          <w:bCs/>
        </w:rPr>
        <w:t>:</w:t>
      </w:r>
      <w:r w:rsidR="00E51AFF">
        <w:rPr>
          <w:b/>
          <w:bCs/>
        </w:rPr>
        <w:t xml:space="preserve"> </w:t>
      </w:r>
      <w:r w:rsidR="00E51AFF" w:rsidRPr="00E51AFF">
        <w:rPr>
          <w:b/>
          <w:bCs/>
        </w:rPr>
        <w:t>City-regions entering recession –GVA per capita change (%) 1997-2008</w:t>
      </w:r>
    </w:p>
    <w:p w:rsidR="00F746C0" w:rsidRDefault="00F746C0" w:rsidP="00F2646C">
      <w:pPr>
        <w:ind w:firstLine="720"/>
        <w:rPr>
          <w:bCs/>
        </w:rPr>
      </w:pPr>
      <w:r>
        <w:rPr>
          <w:bCs/>
        </w:rPr>
        <w:t>Source: ONS Regional Accounts GVA NUTS 3</w:t>
      </w:r>
    </w:p>
    <w:p w:rsidR="00F746C0" w:rsidRDefault="00267F3C" w:rsidP="00F2646C">
      <w:pPr>
        <w:ind w:firstLine="720"/>
        <w:rPr>
          <w:bCs/>
        </w:rPr>
      </w:pPr>
      <w:r>
        <w:rPr>
          <w:bCs/>
        </w:rPr>
        <w:t xml:space="preserve">Boundaries: </w:t>
      </w:r>
      <w:r w:rsidR="00F7574C">
        <w:rPr>
          <w:bCs/>
        </w:rPr>
        <w:t xml:space="preserve">The city-regions are </w:t>
      </w:r>
      <w:r w:rsidR="00D94897">
        <w:rPr>
          <w:bCs/>
        </w:rPr>
        <w:t xml:space="preserve">defined </w:t>
      </w:r>
      <w:r w:rsidR="00245149">
        <w:rPr>
          <w:bCs/>
        </w:rPr>
        <w:t>by</w:t>
      </w:r>
      <w:r w:rsidR="00D94897">
        <w:rPr>
          <w:bCs/>
        </w:rPr>
        <w:t xml:space="preserve"> </w:t>
      </w:r>
      <w:r w:rsidR="0066494C">
        <w:rPr>
          <w:bCs/>
        </w:rPr>
        <w:t>NUTS 3</w:t>
      </w:r>
    </w:p>
    <w:p w:rsidR="00C831EA" w:rsidRPr="00C831EA" w:rsidRDefault="005632E0" w:rsidP="00C831EA">
      <w:pPr>
        <w:rPr>
          <w:b/>
          <w:bCs/>
        </w:rPr>
      </w:pPr>
      <w:r w:rsidRPr="005632E0">
        <w:rPr>
          <w:b/>
          <w:bCs/>
        </w:rPr>
        <w:t>Slide</w:t>
      </w:r>
      <w:r w:rsidR="00C664D8">
        <w:rPr>
          <w:b/>
          <w:bCs/>
        </w:rPr>
        <w:t>s 10 and 11</w:t>
      </w:r>
      <w:r w:rsidR="00C831EA">
        <w:rPr>
          <w:b/>
          <w:bCs/>
        </w:rPr>
        <w:t>:</w:t>
      </w:r>
      <w:r w:rsidR="00E51AFF">
        <w:rPr>
          <w:b/>
          <w:bCs/>
        </w:rPr>
        <w:t xml:space="preserve"> </w:t>
      </w:r>
      <w:r w:rsidR="00E51AFF" w:rsidRPr="00E51AFF">
        <w:rPr>
          <w:b/>
          <w:bCs/>
        </w:rPr>
        <w:t>Recession impact - employment change % 2008-12</w:t>
      </w:r>
      <w:r w:rsidR="00C831EA">
        <w:rPr>
          <w:b/>
          <w:bCs/>
        </w:rPr>
        <w:t xml:space="preserve"> &amp; </w:t>
      </w:r>
      <w:r w:rsidR="00C831EA" w:rsidRPr="00C831EA">
        <w:rPr>
          <w:b/>
          <w:bCs/>
        </w:rPr>
        <w:t>employment change by sector (%) 2008-2012</w:t>
      </w:r>
    </w:p>
    <w:p w:rsidR="004E45CE" w:rsidRDefault="003E4680" w:rsidP="00DE2B6E">
      <w:pPr>
        <w:ind w:left="720"/>
        <w:rPr>
          <w:b/>
          <w:bCs/>
        </w:rPr>
      </w:pPr>
      <w:r>
        <w:rPr>
          <w:bCs/>
        </w:rPr>
        <w:t xml:space="preserve">Sources: </w:t>
      </w:r>
      <w:r w:rsidR="00C664D8">
        <w:rPr>
          <w:bCs/>
        </w:rPr>
        <w:t>B</w:t>
      </w:r>
      <w:r w:rsidRPr="003E4680">
        <w:rPr>
          <w:bCs/>
        </w:rPr>
        <w:t xml:space="preserve">usiness </w:t>
      </w:r>
      <w:r w:rsidR="00C664D8">
        <w:rPr>
          <w:bCs/>
        </w:rPr>
        <w:t>R</w:t>
      </w:r>
      <w:r w:rsidRPr="003E4680">
        <w:rPr>
          <w:bCs/>
        </w:rPr>
        <w:t xml:space="preserve">egister and </w:t>
      </w:r>
      <w:r w:rsidR="00C664D8">
        <w:rPr>
          <w:bCs/>
        </w:rPr>
        <w:t>E</w:t>
      </w:r>
      <w:r w:rsidRPr="003E4680">
        <w:rPr>
          <w:bCs/>
        </w:rPr>
        <w:t xml:space="preserve">mployment </w:t>
      </w:r>
      <w:r w:rsidR="00C664D8">
        <w:rPr>
          <w:bCs/>
        </w:rPr>
        <w:t>S</w:t>
      </w:r>
      <w:r w:rsidRPr="003E4680">
        <w:rPr>
          <w:bCs/>
        </w:rPr>
        <w:t>urvey - 2010 consistent with earlier years</w:t>
      </w:r>
      <w:r>
        <w:rPr>
          <w:bCs/>
        </w:rPr>
        <w:t xml:space="preserve">; &amp; </w:t>
      </w:r>
      <w:r w:rsidR="00C664D8">
        <w:rPr>
          <w:bCs/>
        </w:rPr>
        <w:t>B</w:t>
      </w:r>
      <w:r w:rsidRPr="003E4680">
        <w:rPr>
          <w:bCs/>
        </w:rPr>
        <w:t xml:space="preserve">usiness </w:t>
      </w:r>
      <w:r w:rsidR="00C664D8">
        <w:rPr>
          <w:bCs/>
        </w:rPr>
        <w:t>R</w:t>
      </w:r>
      <w:r w:rsidRPr="003E4680">
        <w:rPr>
          <w:bCs/>
        </w:rPr>
        <w:t xml:space="preserve">egister and </w:t>
      </w:r>
      <w:r w:rsidR="00C664D8">
        <w:rPr>
          <w:bCs/>
        </w:rPr>
        <w:t>E</w:t>
      </w:r>
      <w:r w:rsidRPr="003E4680">
        <w:rPr>
          <w:bCs/>
        </w:rPr>
        <w:t xml:space="preserve">mployment </w:t>
      </w:r>
      <w:r w:rsidR="00C664D8">
        <w:rPr>
          <w:bCs/>
        </w:rPr>
        <w:t>S</w:t>
      </w:r>
      <w:r w:rsidRPr="003E4680">
        <w:rPr>
          <w:bCs/>
        </w:rPr>
        <w:t>urvey</w:t>
      </w:r>
    </w:p>
    <w:p w:rsidR="00E51AFF" w:rsidRDefault="005632E0">
      <w:pPr>
        <w:rPr>
          <w:b/>
          <w:bCs/>
        </w:rPr>
      </w:pPr>
      <w:r w:rsidRPr="005632E0">
        <w:rPr>
          <w:b/>
          <w:bCs/>
        </w:rPr>
        <w:t xml:space="preserve">Slide </w:t>
      </w:r>
      <w:r w:rsidR="00E51AFF">
        <w:rPr>
          <w:b/>
          <w:bCs/>
        </w:rPr>
        <w:t>12</w:t>
      </w:r>
      <w:r w:rsidR="00C831EA">
        <w:rPr>
          <w:b/>
          <w:bCs/>
        </w:rPr>
        <w:t>:</w:t>
      </w:r>
      <w:r w:rsidR="00E51AFF">
        <w:rPr>
          <w:b/>
          <w:bCs/>
        </w:rPr>
        <w:t xml:space="preserve"> </w:t>
      </w:r>
      <w:r w:rsidR="00E51AFF" w:rsidRPr="00E51AFF">
        <w:rPr>
          <w:b/>
          <w:bCs/>
        </w:rPr>
        <w:t>Recession impact - % change in real earnings (residence-based)</w:t>
      </w:r>
    </w:p>
    <w:p w:rsidR="00DD694B" w:rsidRDefault="00DD694B" w:rsidP="00F2646C">
      <w:pPr>
        <w:ind w:left="720"/>
        <w:rPr>
          <w:bCs/>
        </w:rPr>
      </w:pPr>
      <w:r>
        <w:rPr>
          <w:bCs/>
        </w:rPr>
        <w:t>Source: Annual Survey of Hours &amp; Earnings; figures are deflated using ONS Consumer Price Index data</w:t>
      </w:r>
    </w:p>
    <w:p w:rsidR="00E51AFF" w:rsidRDefault="005632E0">
      <w:pPr>
        <w:rPr>
          <w:b/>
          <w:bCs/>
        </w:rPr>
      </w:pPr>
      <w:r w:rsidRPr="005632E0">
        <w:rPr>
          <w:b/>
          <w:bCs/>
        </w:rPr>
        <w:t xml:space="preserve">Slide </w:t>
      </w:r>
      <w:r w:rsidR="00E51AFF">
        <w:rPr>
          <w:b/>
          <w:bCs/>
        </w:rPr>
        <w:t>13</w:t>
      </w:r>
      <w:r w:rsidR="00C831EA">
        <w:rPr>
          <w:b/>
          <w:bCs/>
        </w:rPr>
        <w:t>:</w:t>
      </w:r>
      <w:r w:rsidR="00E51AFF">
        <w:rPr>
          <w:b/>
          <w:bCs/>
        </w:rPr>
        <w:t xml:space="preserve"> </w:t>
      </w:r>
      <w:r w:rsidR="00E51AFF" w:rsidRPr="00E51AFF">
        <w:rPr>
          <w:b/>
          <w:bCs/>
        </w:rPr>
        <w:t xml:space="preserve">Recession impact - unemployment rates, 16-64s, </w:t>
      </w:r>
      <w:proofErr w:type="gramStart"/>
      <w:r w:rsidR="00E51AFF" w:rsidRPr="00E51AFF">
        <w:rPr>
          <w:b/>
          <w:bCs/>
        </w:rPr>
        <w:t>2004</w:t>
      </w:r>
      <w:proofErr w:type="gramEnd"/>
      <w:r w:rsidR="00E51AFF" w:rsidRPr="00E51AFF">
        <w:rPr>
          <w:b/>
          <w:bCs/>
        </w:rPr>
        <w:t>-12</w:t>
      </w:r>
    </w:p>
    <w:p w:rsidR="00DD694B" w:rsidRDefault="001E3899" w:rsidP="00F2646C">
      <w:pPr>
        <w:ind w:firstLine="720"/>
        <w:rPr>
          <w:bCs/>
        </w:rPr>
      </w:pPr>
      <w:r>
        <w:rPr>
          <w:bCs/>
        </w:rPr>
        <w:t>Source: Annual Population Survey</w:t>
      </w:r>
    </w:p>
    <w:p w:rsidR="00E51AFF" w:rsidRDefault="005632E0">
      <w:pPr>
        <w:rPr>
          <w:b/>
          <w:bCs/>
        </w:rPr>
      </w:pPr>
      <w:r w:rsidRPr="005632E0">
        <w:rPr>
          <w:b/>
          <w:bCs/>
        </w:rPr>
        <w:t xml:space="preserve">Slide </w:t>
      </w:r>
      <w:r w:rsidR="00E51AFF">
        <w:rPr>
          <w:b/>
          <w:bCs/>
        </w:rPr>
        <w:t>14</w:t>
      </w:r>
      <w:r w:rsidR="00C831EA">
        <w:rPr>
          <w:b/>
          <w:bCs/>
        </w:rPr>
        <w:t>:</w:t>
      </w:r>
      <w:r w:rsidR="00E51AFF">
        <w:rPr>
          <w:b/>
          <w:bCs/>
        </w:rPr>
        <w:t xml:space="preserve"> </w:t>
      </w:r>
      <w:r w:rsidR="00E51AFF" w:rsidRPr="00E51AFF">
        <w:rPr>
          <w:b/>
          <w:bCs/>
        </w:rPr>
        <w:t xml:space="preserve">Recession impact - unemployment rates, 16-24s, </w:t>
      </w:r>
      <w:proofErr w:type="gramStart"/>
      <w:r w:rsidR="00E51AFF" w:rsidRPr="00E51AFF">
        <w:rPr>
          <w:b/>
          <w:bCs/>
        </w:rPr>
        <w:t>2004</w:t>
      </w:r>
      <w:proofErr w:type="gramEnd"/>
      <w:r w:rsidR="00E51AFF" w:rsidRPr="00E51AFF">
        <w:rPr>
          <w:b/>
          <w:bCs/>
        </w:rPr>
        <w:t>-12</w:t>
      </w:r>
    </w:p>
    <w:p w:rsidR="001E3899" w:rsidRDefault="001E3899" w:rsidP="00F2646C">
      <w:pPr>
        <w:ind w:firstLine="720"/>
        <w:rPr>
          <w:bCs/>
        </w:rPr>
      </w:pPr>
      <w:r>
        <w:rPr>
          <w:bCs/>
        </w:rPr>
        <w:t>Sources: Annual Population Survey; Claimant Count – Age Duration with Proportions</w:t>
      </w:r>
    </w:p>
    <w:p w:rsidR="00E51AFF" w:rsidRDefault="005632E0">
      <w:pPr>
        <w:rPr>
          <w:b/>
          <w:bCs/>
        </w:rPr>
      </w:pPr>
      <w:r w:rsidRPr="005632E0">
        <w:rPr>
          <w:b/>
          <w:bCs/>
        </w:rPr>
        <w:t xml:space="preserve">Slide </w:t>
      </w:r>
      <w:r w:rsidR="00E51AFF">
        <w:rPr>
          <w:b/>
          <w:bCs/>
        </w:rPr>
        <w:t>15</w:t>
      </w:r>
      <w:r w:rsidR="00C831EA">
        <w:rPr>
          <w:b/>
          <w:bCs/>
        </w:rPr>
        <w:t>:</w:t>
      </w:r>
      <w:r w:rsidR="00E51AFF">
        <w:rPr>
          <w:b/>
          <w:bCs/>
        </w:rPr>
        <w:t xml:space="preserve"> </w:t>
      </w:r>
      <w:r w:rsidR="00E51AFF" w:rsidRPr="00E51AFF">
        <w:rPr>
          <w:b/>
          <w:bCs/>
        </w:rPr>
        <w:t>Recession impact – population change (%) 2008-2011</w:t>
      </w:r>
    </w:p>
    <w:p w:rsidR="003F4C7B" w:rsidRPr="003F4C7B" w:rsidRDefault="003F4C7B" w:rsidP="00524E40">
      <w:pPr>
        <w:ind w:firstLine="720"/>
        <w:rPr>
          <w:bCs/>
        </w:rPr>
      </w:pPr>
      <w:r>
        <w:rPr>
          <w:bCs/>
        </w:rPr>
        <w:t>Source: Mid-Year Population Estimates</w:t>
      </w:r>
    </w:p>
    <w:p w:rsidR="00C831EA" w:rsidRDefault="005632E0" w:rsidP="00C831EA">
      <w:pPr>
        <w:rPr>
          <w:b/>
          <w:bCs/>
        </w:rPr>
      </w:pPr>
      <w:r w:rsidRPr="005632E0">
        <w:rPr>
          <w:b/>
          <w:bCs/>
        </w:rPr>
        <w:t>Slide</w:t>
      </w:r>
      <w:r w:rsidR="00C664D8">
        <w:rPr>
          <w:b/>
          <w:bCs/>
        </w:rPr>
        <w:t>s</w:t>
      </w:r>
      <w:r w:rsidRPr="005632E0">
        <w:rPr>
          <w:b/>
          <w:bCs/>
        </w:rPr>
        <w:t xml:space="preserve"> </w:t>
      </w:r>
      <w:r w:rsidR="00E51AFF">
        <w:rPr>
          <w:b/>
          <w:bCs/>
        </w:rPr>
        <w:t>16</w:t>
      </w:r>
      <w:r w:rsidR="00C664D8">
        <w:rPr>
          <w:b/>
          <w:bCs/>
        </w:rPr>
        <w:t xml:space="preserve"> &amp; 17</w:t>
      </w:r>
      <w:r w:rsidR="00C831EA">
        <w:rPr>
          <w:b/>
          <w:bCs/>
        </w:rPr>
        <w:t>:</w:t>
      </w:r>
      <w:r w:rsidR="00E51AFF">
        <w:rPr>
          <w:b/>
          <w:bCs/>
        </w:rPr>
        <w:t xml:space="preserve"> </w:t>
      </w:r>
      <w:r w:rsidR="00E51AFF" w:rsidRPr="00E51AFF">
        <w:rPr>
          <w:b/>
          <w:bCs/>
        </w:rPr>
        <w:t>Recession impact – GVA per capita change (%) 2008-2011</w:t>
      </w:r>
      <w:r w:rsidR="00C831EA">
        <w:rPr>
          <w:b/>
          <w:bCs/>
        </w:rPr>
        <w:t xml:space="preserve"> &amp; GVA per capita, 2011</w:t>
      </w:r>
    </w:p>
    <w:p w:rsidR="00160A53" w:rsidRDefault="00160A53" w:rsidP="00F2646C">
      <w:pPr>
        <w:ind w:firstLine="720"/>
        <w:rPr>
          <w:bCs/>
        </w:rPr>
      </w:pPr>
      <w:r>
        <w:rPr>
          <w:bCs/>
        </w:rPr>
        <w:t>Source: ONS Regional Accounts GVA NUTS 3</w:t>
      </w:r>
    </w:p>
    <w:p w:rsidR="00160A53" w:rsidRDefault="00160A53" w:rsidP="00F2646C">
      <w:pPr>
        <w:ind w:firstLine="720"/>
        <w:rPr>
          <w:bCs/>
        </w:rPr>
      </w:pPr>
      <w:r>
        <w:rPr>
          <w:bCs/>
        </w:rPr>
        <w:t xml:space="preserve">Boundaries: </w:t>
      </w:r>
      <w:r w:rsidR="00044533">
        <w:rPr>
          <w:bCs/>
        </w:rPr>
        <w:t>City-region</w:t>
      </w:r>
      <w:r w:rsidR="00E14470">
        <w:rPr>
          <w:bCs/>
        </w:rPr>
        <w:t>s</w:t>
      </w:r>
      <w:r w:rsidR="009B48CE">
        <w:rPr>
          <w:bCs/>
        </w:rPr>
        <w:t xml:space="preserve"> by </w:t>
      </w:r>
      <w:r w:rsidR="007A4167">
        <w:rPr>
          <w:bCs/>
        </w:rPr>
        <w:t>NUTS 3</w:t>
      </w:r>
    </w:p>
    <w:p w:rsidR="00E51AFF" w:rsidRDefault="005632E0">
      <w:pPr>
        <w:rPr>
          <w:b/>
          <w:bCs/>
        </w:rPr>
      </w:pPr>
      <w:r w:rsidRPr="005632E0">
        <w:rPr>
          <w:b/>
          <w:bCs/>
        </w:rPr>
        <w:t>Slide</w:t>
      </w:r>
      <w:r w:rsidR="00C831EA">
        <w:rPr>
          <w:b/>
          <w:bCs/>
        </w:rPr>
        <w:t>s</w:t>
      </w:r>
      <w:r w:rsidRPr="005632E0">
        <w:rPr>
          <w:b/>
          <w:bCs/>
        </w:rPr>
        <w:t xml:space="preserve"> </w:t>
      </w:r>
      <w:r w:rsidR="00C831EA">
        <w:rPr>
          <w:b/>
          <w:bCs/>
        </w:rPr>
        <w:t xml:space="preserve">18 &amp; 19:  </w:t>
      </w:r>
      <w:r w:rsidR="00E51AFF" w:rsidRPr="00E51AFF">
        <w:rPr>
          <w:b/>
          <w:bCs/>
        </w:rPr>
        <w:t>Austerity – local government cuts</w:t>
      </w:r>
    </w:p>
    <w:p w:rsidR="00AC77F5" w:rsidRPr="005632E0" w:rsidRDefault="00C831EA" w:rsidP="00F2646C">
      <w:pPr>
        <w:ind w:left="720"/>
        <w:rPr>
          <w:bCs/>
        </w:rPr>
      </w:pPr>
      <w:r>
        <w:rPr>
          <w:bCs/>
        </w:rPr>
        <w:t xml:space="preserve">Sources: </w:t>
      </w:r>
      <w:r w:rsidR="00AC77F5" w:rsidRPr="005632E0">
        <w:rPr>
          <w:bCs/>
        </w:rPr>
        <w:t xml:space="preserve">Butler, P. (2013) ‘Council spending cuts: the north loses out to the south’, </w:t>
      </w:r>
      <w:r w:rsidR="00AC77F5" w:rsidRPr="005632E0">
        <w:rPr>
          <w:bCs/>
          <w:i/>
        </w:rPr>
        <w:t>Guardian</w:t>
      </w:r>
      <w:r w:rsidR="00AC77F5" w:rsidRPr="005632E0">
        <w:rPr>
          <w:bCs/>
        </w:rPr>
        <w:t>, 11 January</w:t>
      </w:r>
      <w:r>
        <w:rPr>
          <w:bCs/>
        </w:rPr>
        <w:t xml:space="preserve"> &amp; </w:t>
      </w:r>
      <w:r w:rsidR="00AC77F5" w:rsidRPr="005632E0">
        <w:rPr>
          <w:bCs/>
        </w:rPr>
        <w:t xml:space="preserve">Newcastle City Council (2013) </w:t>
      </w:r>
      <w:r w:rsidR="00AC77F5" w:rsidRPr="005632E0">
        <w:rPr>
          <w:bCs/>
          <w:i/>
        </w:rPr>
        <w:t>2013/14 and Provisional 2014/15 Government Funding Settlement</w:t>
      </w:r>
      <w:r w:rsidR="00AC77F5" w:rsidRPr="005632E0">
        <w:rPr>
          <w:bCs/>
        </w:rPr>
        <w:t>, Report to City Council 9 January 2013 by Director of Finance and Resources, Newcastle upon Tyne, Newcastle City Council.</w:t>
      </w:r>
    </w:p>
    <w:p w:rsidR="00DE2B6E" w:rsidRDefault="00DE2B6E">
      <w:pPr>
        <w:rPr>
          <w:b/>
          <w:bCs/>
        </w:rPr>
      </w:pPr>
    </w:p>
    <w:p w:rsidR="00E51AFF" w:rsidRDefault="00AC77F5">
      <w:pPr>
        <w:rPr>
          <w:b/>
          <w:bCs/>
        </w:rPr>
      </w:pPr>
      <w:r>
        <w:rPr>
          <w:b/>
          <w:bCs/>
        </w:rPr>
        <w:lastRenderedPageBreak/>
        <w:t xml:space="preserve">Slide </w:t>
      </w:r>
      <w:r w:rsidR="00C831EA">
        <w:rPr>
          <w:b/>
          <w:bCs/>
        </w:rPr>
        <w:t>20:</w:t>
      </w:r>
      <w:r>
        <w:rPr>
          <w:b/>
          <w:bCs/>
        </w:rPr>
        <w:t xml:space="preserve"> </w:t>
      </w:r>
      <w:r w:rsidR="00E51AFF">
        <w:rPr>
          <w:b/>
          <w:bCs/>
        </w:rPr>
        <w:t>Cuts in Spending Power vs Indices of Deprivation</w:t>
      </w:r>
    </w:p>
    <w:p w:rsidR="00793A72" w:rsidRPr="00E5302B" w:rsidRDefault="00C831EA" w:rsidP="00F2646C">
      <w:pPr>
        <w:ind w:left="720"/>
        <w:rPr>
          <w:bCs/>
        </w:rPr>
      </w:pPr>
      <w:r>
        <w:rPr>
          <w:bCs/>
        </w:rPr>
        <w:t xml:space="preserve">Source: </w:t>
      </w:r>
      <w:r w:rsidR="00793A72" w:rsidRPr="00E5302B">
        <w:rPr>
          <w:bCs/>
        </w:rPr>
        <w:t>Fitzgerald, G. (2012</w:t>
      </w:r>
      <w:r w:rsidR="00894658" w:rsidRPr="00E5302B">
        <w:rPr>
          <w:bCs/>
        </w:rPr>
        <w:t>) ‘Fairness</w:t>
      </w:r>
      <w:r w:rsidR="00793A72" w:rsidRPr="00E5302B">
        <w:rPr>
          <w:bCs/>
        </w:rPr>
        <w:t xml:space="preserve"> Commission: Why Liverpool?’  Presentation to Liverpool Fairness Commission in  Liverpool Fairness Commission </w:t>
      </w:r>
      <w:r w:rsidR="00793A72" w:rsidRPr="00E5302B">
        <w:rPr>
          <w:bCs/>
          <w:i/>
        </w:rPr>
        <w:t>Come together: The report of the Liverpool Fairness Commission</w:t>
      </w:r>
      <w:r w:rsidR="00793A72" w:rsidRPr="00E5302B">
        <w:rPr>
          <w:bCs/>
        </w:rPr>
        <w:t xml:space="preserve">, Liverpool, Liverpool Fairness Commission, Appendix 1, Section E.  </w:t>
      </w:r>
      <w:hyperlink r:id="rId8" w:history="1">
        <w:r w:rsidR="00793A72" w:rsidRPr="00E5302B">
          <w:rPr>
            <w:rStyle w:val="Hyperlink"/>
            <w:bCs/>
          </w:rPr>
          <w:t>http://liverpoolfairnesscommission.com/report.php</w:t>
        </w:r>
      </w:hyperlink>
      <w:r w:rsidR="00793A72" w:rsidRPr="00E5302B">
        <w:rPr>
          <w:bCs/>
        </w:rPr>
        <w:t>.   Last accessed 16 December 2013.</w:t>
      </w:r>
    </w:p>
    <w:p w:rsidR="00C831EA" w:rsidRPr="00C831EA" w:rsidRDefault="005632E0" w:rsidP="00C831EA">
      <w:pPr>
        <w:rPr>
          <w:b/>
          <w:bCs/>
        </w:rPr>
      </w:pPr>
      <w:r w:rsidRPr="005632E0">
        <w:rPr>
          <w:b/>
          <w:bCs/>
        </w:rPr>
        <w:t>Slide</w:t>
      </w:r>
      <w:r w:rsidR="00524E40">
        <w:rPr>
          <w:b/>
          <w:bCs/>
        </w:rPr>
        <w:t>s</w:t>
      </w:r>
      <w:r w:rsidRPr="005632E0">
        <w:rPr>
          <w:b/>
          <w:bCs/>
        </w:rPr>
        <w:t xml:space="preserve"> </w:t>
      </w:r>
      <w:r w:rsidR="00E51AFF">
        <w:rPr>
          <w:b/>
          <w:bCs/>
        </w:rPr>
        <w:t>2</w:t>
      </w:r>
      <w:r w:rsidR="00C831EA">
        <w:rPr>
          <w:b/>
          <w:bCs/>
        </w:rPr>
        <w:t>1</w:t>
      </w:r>
      <w:r w:rsidR="00524E40">
        <w:rPr>
          <w:b/>
          <w:bCs/>
        </w:rPr>
        <w:t xml:space="preserve"> and 22</w:t>
      </w:r>
      <w:r w:rsidR="00F7574C">
        <w:rPr>
          <w:b/>
          <w:bCs/>
        </w:rPr>
        <w:t>:</w:t>
      </w:r>
      <w:r w:rsidR="00E51AFF">
        <w:rPr>
          <w:b/>
          <w:bCs/>
        </w:rPr>
        <w:t xml:space="preserve"> </w:t>
      </w:r>
      <w:r w:rsidR="00E51AFF" w:rsidRPr="00E51AFF">
        <w:rPr>
          <w:b/>
          <w:bCs/>
        </w:rPr>
        <w:t xml:space="preserve">Welfare </w:t>
      </w:r>
      <w:r w:rsidR="00F7574C" w:rsidRPr="00E51AFF">
        <w:rPr>
          <w:b/>
          <w:bCs/>
        </w:rPr>
        <w:t>reform -</w:t>
      </w:r>
      <w:r w:rsidR="00E51AFF" w:rsidRPr="00E51AFF">
        <w:rPr>
          <w:b/>
          <w:bCs/>
        </w:rPr>
        <w:t xml:space="preserve"> cuts in train</w:t>
      </w:r>
      <w:r w:rsidR="00E51AFF">
        <w:rPr>
          <w:b/>
          <w:bCs/>
        </w:rPr>
        <w:t xml:space="preserve">: </w:t>
      </w:r>
      <w:r w:rsidR="00E51AFF" w:rsidRPr="00E51AFF">
        <w:rPr>
          <w:b/>
          <w:bCs/>
        </w:rPr>
        <w:t>Total Impact of Welfare Cuts to 2014/15: Financial loss per working age adult, £s per year</w:t>
      </w:r>
      <w:r w:rsidR="00C831EA">
        <w:rPr>
          <w:b/>
          <w:bCs/>
        </w:rPr>
        <w:t xml:space="preserve"> </w:t>
      </w:r>
    </w:p>
    <w:p w:rsidR="00AE548E" w:rsidRPr="001049D9" w:rsidRDefault="00C831EA" w:rsidP="00F2646C">
      <w:pPr>
        <w:ind w:left="720"/>
        <w:rPr>
          <w:bCs/>
        </w:rPr>
      </w:pPr>
      <w:r>
        <w:rPr>
          <w:bCs/>
        </w:rPr>
        <w:t xml:space="preserve">Source: </w:t>
      </w:r>
      <w:r w:rsidR="00AE548E" w:rsidRPr="001049D9">
        <w:rPr>
          <w:bCs/>
        </w:rPr>
        <w:t>Beatty</w:t>
      </w:r>
      <w:r w:rsidR="00F2646C">
        <w:rPr>
          <w:bCs/>
        </w:rPr>
        <w:t>, C.</w:t>
      </w:r>
      <w:r w:rsidR="00AE548E" w:rsidRPr="001049D9">
        <w:rPr>
          <w:bCs/>
        </w:rPr>
        <w:t xml:space="preserve"> and Fothergill</w:t>
      </w:r>
      <w:r w:rsidR="00F2646C">
        <w:rPr>
          <w:bCs/>
        </w:rPr>
        <w:t>, S.</w:t>
      </w:r>
      <w:r w:rsidR="00AE548E" w:rsidRPr="001049D9">
        <w:rPr>
          <w:bCs/>
        </w:rPr>
        <w:t xml:space="preserve"> (2013) </w:t>
      </w:r>
      <w:r w:rsidR="00AE548E" w:rsidRPr="001049D9">
        <w:rPr>
          <w:bCs/>
          <w:i/>
        </w:rPr>
        <w:t xml:space="preserve">Hitting </w:t>
      </w:r>
      <w:r w:rsidR="00894658" w:rsidRPr="001049D9">
        <w:rPr>
          <w:bCs/>
          <w:i/>
        </w:rPr>
        <w:t>the</w:t>
      </w:r>
      <w:r w:rsidR="00AE548E" w:rsidRPr="001049D9">
        <w:rPr>
          <w:bCs/>
          <w:i/>
        </w:rPr>
        <w:t xml:space="preserve"> Poorest Places Hardest: The local and regional impact of welfare reform</w:t>
      </w:r>
      <w:r w:rsidR="00AE548E" w:rsidRPr="001049D9">
        <w:rPr>
          <w:bCs/>
        </w:rPr>
        <w:t>, Sheffield, Centre for Regional Economic and Social Research, Sheffield Hallam University</w:t>
      </w:r>
    </w:p>
    <w:p w:rsidR="00E51AFF" w:rsidRPr="008633B4" w:rsidRDefault="005632E0">
      <w:pPr>
        <w:rPr>
          <w:b/>
        </w:rPr>
      </w:pPr>
      <w:r w:rsidRPr="005632E0">
        <w:rPr>
          <w:b/>
          <w:bCs/>
        </w:rPr>
        <w:t xml:space="preserve">Slide </w:t>
      </w:r>
      <w:r w:rsidR="00E51AFF" w:rsidRPr="008633B4">
        <w:rPr>
          <w:b/>
        </w:rPr>
        <w:t>2</w:t>
      </w:r>
      <w:r w:rsidR="00C831EA">
        <w:rPr>
          <w:b/>
        </w:rPr>
        <w:t>8</w:t>
      </w:r>
      <w:r w:rsidR="00F7574C">
        <w:rPr>
          <w:b/>
        </w:rPr>
        <w:t>:</w:t>
      </w:r>
      <w:r w:rsidR="00E51AFF" w:rsidRPr="008633B4">
        <w:rPr>
          <w:b/>
        </w:rPr>
        <w:t xml:space="preserve"> Voluntary Sector Statutory Funding Recipients</w:t>
      </w:r>
    </w:p>
    <w:p w:rsidR="00D54F8E" w:rsidRPr="00D54F8E" w:rsidRDefault="00D54F8E" w:rsidP="00D54F8E">
      <w:pPr>
        <w:ind w:left="720"/>
        <w:jc w:val="both"/>
        <w:rPr>
          <w:rFonts w:eastAsia="SimSun" w:cs="Times New Roman"/>
        </w:rPr>
      </w:pPr>
      <w:r w:rsidRPr="00D54F8E">
        <w:t xml:space="preserve">Source: </w:t>
      </w:r>
      <w:r w:rsidRPr="00D54F8E">
        <w:rPr>
          <w:rFonts w:eastAsia="SimSun" w:cs="Times New Roman"/>
        </w:rPr>
        <w:t xml:space="preserve">Clifford, D. </w:t>
      </w:r>
      <w:proofErr w:type="spellStart"/>
      <w:r w:rsidRPr="00D54F8E">
        <w:rPr>
          <w:rFonts w:eastAsia="SimSun" w:cs="Times New Roman"/>
        </w:rPr>
        <w:t>Rajme</w:t>
      </w:r>
      <w:proofErr w:type="spellEnd"/>
      <w:r w:rsidRPr="00D54F8E">
        <w:rPr>
          <w:rFonts w:eastAsia="SimSun" w:cs="Times New Roman"/>
        </w:rPr>
        <w:t>, F. Mohan, J. (2010) ‘How depend</w:t>
      </w:r>
      <w:r>
        <w:rPr>
          <w:rFonts w:eastAsia="SimSun" w:cs="Times New Roman"/>
        </w:rPr>
        <w:t>e</w:t>
      </w:r>
      <w:r w:rsidRPr="00D54F8E">
        <w:rPr>
          <w:rFonts w:eastAsia="SimSun" w:cs="Times New Roman"/>
        </w:rPr>
        <w:t xml:space="preserve">nt is the third sector on public funding? </w:t>
      </w:r>
      <w:proofErr w:type="gramStart"/>
      <w:r w:rsidRPr="00D54F8E">
        <w:rPr>
          <w:rFonts w:eastAsia="SimSun" w:cs="Times New Roman"/>
        </w:rPr>
        <w:t>Evidence from the national survey of third sector organisations</w:t>
      </w:r>
      <w:r w:rsidRPr="00D54F8E">
        <w:rPr>
          <w:rFonts w:eastAsia="SimSun" w:cs="Times New Roman"/>
          <w:i/>
        </w:rPr>
        <w:t>.’</w:t>
      </w:r>
      <w:proofErr w:type="gramEnd"/>
      <w:r w:rsidRPr="00D54F8E">
        <w:rPr>
          <w:rFonts w:eastAsia="SimSun" w:cs="Times New Roman"/>
        </w:rPr>
        <w:t xml:space="preserve"> </w:t>
      </w:r>
      <w:proofErr w:type="gramStart"/>
      <w:r w:rsidRPr="00D54F8E">
        <w:rPr>
          <w:rFonts w:eastAsia="SimSun" w:cs="Times New Roman"/>
          <w:i/>
        </w:rPr>
        <w:t xml:space="preserve">Third Sector Research Centre Working Paper </w:t>
      </w:r>
      <w:r w:rsidRPr="00D54F8E">
        <w:rPr>
          <w:rFonts w:eastAsia="SimSun" w:cs="Times New Roman"/>
        </w:rPr>
        <w:t>32.</w:t>
      </w:r>
      <w:proofErr w:type="gramEnd"/>
      <w:r w:rsidRPr="00D54F8E">
        <w:rPr>
          <w:rFonts w:eastAsia="SimSun" w:cs="Times New Roman"/>
        </w:rPr>
        <w:t xml:space="preserve">  University of Southampton and University of Birmingham: Third Sector Research Centre.</w:t>
      </w:r>
    </w:p>
    <w:p w:rsidR="00E51AFF" w:rsidRPr="00DD35C7" w:rsidRDefault="005632E0">
      <w:pPr>
        <w:rPr>
          <w:b/>
        </w:rPr>
      </w:pPr>
      <w:r w:rsidRPr="005632E0">
        <w:rPr>
          <w:b/>
          <w:bCs/>
        </w:rPr>
        <w:t xml:space="preserve">Slide </w:t>
      </w:r>
      <w:r w:rsidR="00E51AFF" w:rsidRPr="00DD35C7">
        <w:rPr>
          <w:b/>
        </w:rPr>
        <w:t>2</w:t>
      </w:r>
      <w:r w:rsidR="00C831EA">
        <w:rPr>
          <w:b/>
        </w:rPr>
        <w:t>9</w:t>
      </w:r>
      <w:r w:rsidR="004E45CE">
        <w:rPr>
          <w:b/>
        </w:rPr>
        <w:t>:</w:t>
      </w:r>
      <w:r w:rsidR="00E51AFF" w:rsidRPr="00DD35C7">
        <w:rPr>
          <w:b/>
        </w:rPr>
        <w:t xml:space="preserve"> Levels of Deprivation: IMD 2010</w:t>
      </w:r>
    </w:p>
    <w:p w:rsidR="005632E0" w:rsidRPr="005632E0" w:rsidRDefault="00DD35C7" w:rsidP="00F2646C">
      <w:pPr>
        <w:ind w:left="720"/>
        <w:rPr>
          <w:b/>
          <w:bCs/>
        </w:rPr>
      </w:pPr>
      <w:r>
        <w:rPr>
          <w:lang w:val="en-US"/>
        </w:rPr>
        <w:t xml:space="preserve">Sources: </w:t>
      </w:r>
      <w:r w:rsidR="005632E0" w:rsidRPr="005632E0">
        <w:rPr>
          <w:lang w:val="en-US"/>
        </w:rPr>
        <w:t xml:space="preserve">Department for Communities and Local Government (2011) </w:t>
      </w:r>
      <w:r w:rsidR="005632E0" w:rsidRPr="005632E0">
        <w:rPr>
          <w:i/>
          <w:lang w:val="en-US"/>
        </w:rPr>
        <w:t>English Indices of Deprivation, 2010</w:t>
      </w:r>
      <w:r w:rsidR="005632E0" w:rsidRPr="005632E0">
        <w:rPr>
          <w:lang w:val="en-US"/>
        </w:rPr>
        <w:t xml:space="preserve">, </w:t>
      </w:r>
      <w:hyperlink r:id="rId9" w:history="1">
        <w:r w:rsidRPr="00646B10">
          <w:rPr>
            <w:rStyle w:val="Hyperlink"/>
            <w:lang w:val="en-US"/>
          </w:rPr>
          <w:t>https://www.gov.uk/government/publications/english-indices-of-deprivation-2010</w:t>
        </w:r>
      </w:hyperlink>
      <w:r w:rsidR="005632E0" w:rsidRPr="005632E0">
        <w:rPr>
          <w:lang w:val="en-US"/>
        </w:rPr>
        <w:t>.</w:t>
      </w:r>
      <w:r>
        <w:rPr>
          <w:lang w:val="en-US"/>
        </w:rPr>
        <w:t xml:space="preserve">  </w:t>
      </w:r>
      <w:r w:rsidR="005632E0" w:rsidRPr="005632E0">
        <w:rPr>
          <w:lang w:val="en-US"/>
        </w:rPr>
        <w:t xml:space="preserve">Liverpool City Council (2011) </w:t>
      </w:r>
      <w:proofErr w:type="gramStart"/>
      <w:r w:rsidR="005632E0" w:rsidRPr="005632E0">
        <w:rPr>
          <w:i/>
          <w:lang w:val="en-US"/>
        </w:rPr>
        <w:t>The</w:t>
      </w:r>
      <w:proofErr w:type="gramEnd"/>
      <w:r w:rsidR="005632E0" w:rsidRPr="005632E0">
        <w:rPr>
          <w:i/>
          <w:lang w:val="en-US"/>
        </w:rPr>
        <w:t xml:space="preserve"> Index of Multiple Deprivation 2010: A Liverpool Analysis</w:t>
      </w:r>
      <w:r w:rsidR="005632E0" w:rsidRPr="005632E0">
        <w:rPr>
          <w:lang w:val="en-US"/>
        </w:rPr>
        <w:t>, Liverpool, Liverpool City Council.</w:t>
      </w:r>
      <w:r>
        <w:rPr>
          <w:lang w:val="en-US"/>
        </w:rPr>
        <w:t xml:space="preserve">  </w:t>
      </w:r>
      <w:r w:rsidR="005632E0" w:rsidRPr="005632E0">
        <w:rPr>
          <w:lang w:val="en-US"/>
        </w:rPr>
        <w:t xml:space="preserve">Bristol City Council (2011) </w:t>
      </w:r>
      <w:r w:rsidR="005632E0" w:rsidRPr="005632E0">
        <w:rPr>
          <w:i/>
          <w:lang w:val="en-US"/>
        </w:rPr>
        <w:t>Deprivation in Bristol: The mapping of deprivation within Bristol Local Authority Area</w:t>
      </w:r>
      <w:r w:rsidR="005632E0" w:rsidRPr="005632E0">
        <w:rPr>
          <w:lang w:val="en-US"/>
        </w:rPr>
        <w:t xml:space="preserve">, Bristol, Bristol City Council. </w:t>
      </w:r>
    </w:p>
    <w:p w:rsidR="00C664D8" w:rsidRDefault="00524E40" w:rsidP="00F7574C">
      <w:pPr>
        <w:rPr>
          <w:b/>
          <w:bCs/>
        </w:rPr>
      </w:pPr>
      <w:r>
        <w:rPr>
          <w:b/>
          <w:bCs/>
        </w:rPr>
        <w:t>Slides 30-43</w:t>
      </w:r>
    </w:p>
    <w:p w:rsidR="00524E40" w:rsidRPr="00894658" w:rsidRDefault="00894658" w:rsidP="00894658">
      <w:pPr>
        <w:ind w:left="720"/>
        <w:rPr>
          <w:bCs/>
        </w:rPr>
      </w:pPr>
      <w:r w:rsidRPr="00894658">
        <w:rPr>
          <w:bCs/>
        </w:rPr>
        <w:t>Slides</w:t>
      </w:r>
      <w:r w:rsidR="00524E40" w:rsidRPr="00894658">
        <w:rPr>
          <w:bCs/>
        </w:rPr>
        <w:t xml:space="preserve"> </w:t>
      </w:r>
      <w:r w:rsidR="00D54F8E">
        <w:rPr>
          <w:bCs/>
        </w:rPr>
        <w:t xml:space="preserve">30-43 </w:t>
      </w:r>
      <w:r w:rsidR="00524E40" w:rsidRPr="00894658">
        <w:rPr>
          <w:bCs/>
        </w:rPr>
        <w:t xml:space="preserve">draw on </w:t>
      </w:r>
      <w:r>
        <w:rPr>
          <w:bCs/>
        </w:rPr>
        <w:t xml:space="preserve">the findings of </w:t>
      </w:r>
      <w:r w:rsidRPr="00894658">
        <w:rPr>
          <w:bCs/>
        </w:rPr>
        <w:t>semi-structured interviews</w:t>
      </w:r>
      <w:r w:rsidR="00524E40" w:rsidRPr="00894658">
        <w:rPr>
          <w:bCs/>
        </w:rPr>
        <w:t xml:space="preserve"> with </w:t>
      </w:r>
      <w:r w:rsidRPr="00894658">
        <w:rPr>
          <w:bCs/>
        </w:rPr>
        <w:t>representatives</w:t>
      </w:r>
      <w:r w:rsidR="00524E40" w:rsidRPr="00894658">
        <w:rPr>
          <w:bCs/>
        </w:rPr>
        <w:t xml:space="preserve"> of the </w:t>
      </w:r>
      <w:r w:rsidRPr="00894658">
        <w:rPr>
          <w:bCs/>
        </w:rPr>
        <w:t>voluntary</w:t>
      </w:r>
      <w:r w:rsidR="00524E40" w:rsidRPr="00894658">
        <w:rPr>
          <w:bCs/>
        </w:rPr>
        <w:t xml:space="preserve"> and </w:t>
      </w:r>
      <w:r w:rsidRPr="00894658">
        <w:rPr>
          <w:bCs/>
        </w:rPr>
        <w:t>community</w:t>
      </w:r>
      <w:r w:rsidR="00524E40" w:rsidRPr="00894658">
        <w:rPr>
          <w:bCs/>
        </w:rPr>
        <w:t xml:space="preserve"> </w:t>
      </w:r>
      <w:r w:rsidRPr="00894658">
        <w:rPr>
          <w:bCs/>
        </w:rPr>
        <w:t>sector</w:t>
      </w:r>
      <w:r w:rsidR="00524E40" w:rsidRPr="00894658">
        <w:rPr>
          <w:bCs/>
        </w:rPr>
        <w:t xml:space="preserve"> in the two cities.</w:t>
      </w:r>
    </w:p>
    <w:p w:rsidR="00793A72" w:rsidRDefault="005632E0" w:rsidP="00F7574C">
      <w:pPr>
        <w:rPr>
          <w:b/>
          <w:bCs/>
        </w:rPr>
      </w:pPr>
      <w:r w:rsidRPr="005632E0">
        <w:rPr>
          <w:b/>
          <w:bCs/>
        </w:rPr>
        <w:t>Slide</w:t>
      </w:r>
      <w:r w:rsidRPr="002F4596">
        <w:rPr>
          <w:b/>
          <w:bCs/>
        </w:rPr>
        <w:t xml:space="preserve"> </w:t>
      </w:r>
      <w:r w:rsidR="00E51AFF" w:rsidRPr="002F4596">
        <w:rPr>
          <w:b/>
        </w:rPr>
        <w:t>4</w:t>
      </w:r>
      <w:r w:rsidR="00D54F8E">
        <w:rPr>
          <w:b/>
        </w:rPr>
        <w:t>6</w:t>
      </w:r>
      <w:r w:rsidR="00F7574C">
        <w:rPr>
          <w:b/>
        </w:rPr>
        <w:t>-5</w:t>
      </w:r>
      <w:r w:rsidR="00894658">
        <w:rPr>
          <w:b/>
        </w:rPr>
        <w:t>2</w:t>
      </w:r>
      <w:r w:rsidR="00F7574C">
        <w:rPr>
          <w:b/>
        </w:rPr>
        <w:t xml:space="preserve"> Household Survey Findings </w:t>
      </w:r>
    </w:p>
    <w:p w:rsidR="00FB63F2" w:rsidRPr="00306A49" w:rsidRDefault="00FB63F2" w:rsidP="00F2646C">
      <w:pPr>
        <w:ind w:left="720"/>
        <w:rPr>
          <w:bCs/>
        </w:rPr>
      </w:pPr>
      <w:r w:rsidRPr="00306A49">
        <w:t>Slides 4</w:t>
      </w:r>
      <w:r w:rsidR="00D54F8E">
        <w:t>6</w:t>
      </w:r>
      <w:r w:rsidRPr="00306A49">
        <w:t>-</w:t>
      </w:r>
      <w:r w:rsidR="004E45CE">
        <w:t>52</w:t>
      </w:r>
      <w:r w:rsidRPr="00306A49">
        <w:t xml:space="preserve"> </w:t>
      </w:r>
      <w:r w:rsidR="00E5302B" w:rsidRPr="00306A49">
        <w:t>present</w:t>
      </w:r>
      <w:r w:rsidRPr="00306A49">
        <w:t xml:space="preserve"> some of the findings of a household social survey of 1,013 households (509 Bristol, 503 Liverpool) conducted </w:t>
      </w:r>
      <w:r w:rsidRPr="00306A49">
        <w:rPr>
          <w:bCs/>
        </w:rPr>
        <w:t xml:space="preserve">between September and December 2011 </w:t>
      </w:r>
      <w:r w:rsidRPr="00306A49">
        <w:t xml:space="preserve">2011 by </w:t>
      </w:r>
      <w:proofErr w:type="spellStart"/>
      <w:r w:rsidRPr="00306A49">
        <w:t>Ipsos</w:t>
      </w:r>
      <w:proofErr w:type="spellEnd"/>
      <w:r w:rsidRPr="00306A49">
        <w:t xml:space="preserve">-MORI, designed to capture subjective data on the impact and consequences of crisis and austerity on different kinds of households in the two cities.  </w:t>
      </w:r>
      <w:r w:rsidRPr="00306A49">
        <w:rPr>
          <w:bCs/>
        </w:rPr>
        <w:t xml:space="preserve">Households were drawn from postcodes attributed to each of 10 ACORN (‘A Classification of Residential Neighbourhoods’) groups and interviewed between September and December 2011, with 20 minute, face-to-face interviews using CACI and a structured interview schedule, supported by a range of </w:t>
      </w:r>
      <w:proofErr w:type="spellStart"/>
      <w:r w:rsidRPr="00306A49">
        <w:rPr>
          <w:bCs/>
        </w:rPr>
        <w:t>showcards</w:t>
      </w:r>
      <w:proofErr w:type="spellEnd"/>
      <w:r w:rsidRPr="00306A49">
        <w:rPr>
          <w:bCs/>
        </w:rPr>
        <w:t>.</w:t>
      </w:r>
    </w:p>
    <w:p w:rsidR="004E45CE" w:rsidRDefault="00FB63F2" w:rsidP="00DE2B6E">
      <w:pPr>
        <w:ind w:left="720"/>
      </w:pPr>
      <w:r w:rsidRPr="00FB63F2">
        <w:t xml:space="preserve">Table </w:t>
      </w:r>
      <w:r w:rsidR="00FC664C">
        <w:t xml:space="preserve">3 </w:t>
      </w:r>
      <w:r w:rsidR="00F7574C">
        <w:t xml:space="preserve">below </w:t>
      </w:r>
      <w:r w:rsidRPr="00FB63F2">
        <w:t xml:space="preserve">highlights the </w:t>
      </w:r>
      <w:r w:rsidR="00160BDD">
        <w:t xml:space="preserve">10 </w:t>
      </w:r>
      <w:r w:rsidRPr="00FB63F2">
        <w:t xml:space="preserve">ACORN groups and their distribution across the two cities, with Bristol having a higher share of households in </w:t>
      </w:r>
      <w:r w:rsidRPr="00FB63F2">
        <w:rPr>
          <w:i/>
        </w:rPr>
        <w:t xml:space="preserve">Affluent Greys, Flourishing Families, and </w:t>
      </w:r>
      <w:r w:rsidRPr="00FB63F2">
        <w:rPr>
          <w:i/>
        </w:rPr>
        <w:lastRenderedPageBreak/>
        <w:t xml:space="preserve">Educated Urbanites </w:t>
      </w:r>
      <w:r w:rsidRPr="00FB63F2">
        <w:t xml:space="preserve">groups, and Liverpool a higher share of households in </w:t>
      </w:r>
      <w:r w:rsidRPr="00FB63F2">
        <w:rPr>
          <w:i/>
        </w:rPr>
        <w:t xml:space="preserve">Burdened Singles </w:t>
      </w:r>
      <w:r w:rsidRPr="00FB63F2">
        <w:t xml:space="preserve">and </w:t>
      </w:r>
      <w:r w:rsidRPr="00FB63F2">
        <w:rPr>
          <w:i/>
        </w:rPr>
        <w:t>Struggling Families</w:t>
      </w:r>
      <w:r w:rsidRPr="00FB63F2">
        <w:t xml:space="preserve"> groups.</w:t>
      </w:r>
      <w:r w:rsidRPr="00FB63F2">
        <w:rPr>
          <w:b/>
        </w:rPr>
        <w:t xml:space="preserve">  </w:t>
      </w:r>
      <w:r w:rsidRPr="00FB63F2">
        <w:t xml:space="preserve">Liverpool also stands out for having a higher than national share of households in the </w:t>
      </w:r>
      <w:r w:rsidRPr="00FB63F2">
        <w:rPr>
          <w:i/>
        </w:rPr>
        <w:t>Secure Families</w:t>
      </w:r>
      <w:r w:rsidRPr="00FB63F2">
        <w:t xml:space="preserve"> and </w:t>
      </w:r>
      <w:r w:rsidRPr="00FB63F2">
        <w:rPr>
          <w:i/>
        </w:rPr>
        <w:t xml:space="preserve">Blue Collar Roots </w:t>
      </w:r>
      <w:r w:rsidRPr="00FB63F2">
        <w:t xml:space="preserve">groups. </w:t>
      </w:r>
    </w:p>
    <w:p w:rsidR="00DE2B6E" w:rsidRDefault="00DE2B6E" w:rsidP="00DE2B6E">
      <w:pPr>
        <w:ind w:left="720"/>
        <w:rPr>
          <w:b/>
        </w:rPr>
      </w:pPr>
    </w:p>
    <w:p w:rsidR="00FB63F2" w:rsidRPr="00FB63F2" w:rsidRDefault="00C664D8" w:rsidP="00FB63F2">
      <w:pPr>
        <w:rPr>
          <w:b/>
        </w:rPr>
      </w:pPr>
      <w:r>
        <w:rPr>
          <w:b/>
        </w:rPr>
        <w:t xml:space="preserve">Table </w:t>
      </w:r>
      <w:r w:rsidR="004E45CE">
        <w:rPr>
          <w:b/>
        </w:rPr>
        <w:t>3</w:t>
      </w:r>
      <w:r>
        <w:rPr>
          <w:b/>
        </w:rPr>
        <w:t xml:space="preserve">: </w:t>
      </w:r>
      <w:r w:rsidR="00FB63F2" w:rsidRPr="00FB63F2">
        <w:rPr>
          <w:b/>
        </w:rPr>
        <w:t>Household groups: ACORN categories</w:t>
      </w:r>
    </w:p>
    <w:tbl>
      <w:tblPr>
        <w:tblW w:w="9783" w:type="dxa"/>
        <w:tblLayout w:type="fixed"/>
        <w:tblCellMar>
          <w:left w:w="0" w:type="dxa"/>
          <w:right w:w="0" w:type="dxa"/>
        </w:tblCellMar>
        <w:tblLook w:val="0600" w:firstRow="0" w:lastRow="0" w:firstColumn="0" w:lastColumn="0" w:noHBand="1" w:noVBand="1"/>
      </w:tblPr>
      <w:tblGrid>
        <w:gridCol w:w="2129"/>
        <w:gridCol w:w="2268"/>
        <w:gridCol w:w="1843"/>
        <w:gridCol w:w="1984"/>
        <w:gridCol w:w="1559"/>
      </w:tblGrid>
      <w:tr w:rsidR="00FB63F2" w:rsidRPr="00C664D8" w:rsidTr="00A23736">
        <w:trPr>
          <w:trHeight w:val="334"/>
        </w:trPr>
        <w:tc>
          <w:tcPr>
            <w:tcW w:w="2129"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FB63F2" w:rsidRPr="00C664D8" w:rsidRDefault="00FB63F2" w:rsidP="00FB63F2">
            <w:pPr>
              <w:rPr>
                <w:sz w:val="20"/>
                <w:szCs w:val="20"/>
              </w:rPr>
            </w:pPr>
          </w:p>
        </w:tc>
        <w:tc>
          <w:tcPr>
            <w:tcW w:w="5386" w:type="dxa"/>
            <w:gridSpan w:val="3"/>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jc w:val="center"/>
              <w:rPr>
                <w:sz w:val="20"/>
                <w:szCs w:val="20"/>
              </w:rPr>
            </w:pPr>
            <w:r w:rsidRPr="00C664D8">
              <w:rPr>
                <w:b/>
                <w:bCs/>
                <w:sz w:val="20"/>
                <w:szCs w:val="20"/>
              </w:rPr>
              <w:t>% of population</w:t>
            </w:r>
          </w:p>
        </w:tc>
      </w:tr>
      <w:tr w:rsidR="00FB63F2" w:rsidRPr="00C664D8" w:rsidTr="00A23736">
        <w:trPr>
          <w:trHeight w:val="389"/>
        </w:trPr>
        <w:tc>
          <w:tcPr>
            <w:tcW w:w="212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rPr>
                <w:sz w:val="20"/>
                <w:szCs w:val="20"/>
              </w:rPr>
            </w:pPr>
            <w:r w:rsidRPr="00C664D8">
              <w:rPr>
                <w:b/>
                <w:bCs/>
                <w:sz w:val="20"/>
                <w:szCs w:val="20"/>
              </w:rPr>
              <w:t>Category</w:t>
            </w:r>
          </w:p>
        </w:tc>
        <w:tc>
          <w:tcPr>
            <w:tcW w:w="226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rPr>
                <w:sz w:val="20"/>
                <w:szCs w:val="20"/>
              </w:rPr>
            </w:pPr>
            <w:r w:rsidRPr="00C664D8">
              <w:rPr>
                <w:b/>
                <w:bCs/>
                <w:sz w:val="20"/>
                <w:szCs w:val="20"/>
              </w:rPr>
              <w:t>Group</w:t>
            </w:r>
          </w:p>
        </w:tc>
        <w:tc>
          <w:tcPr>
            <w:tcW w:w="1843"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jc w:val="center"/>
              <w:rPr>
                <w:sz w:val="20"/>
                <w:szCs w:val="20"/>
              </w:rPr>
            </w:pPr>
            <w:r w:rsidRPr="00C664D8">
              <w:rPr>
                <w:b/>
                <w:bCs/>
                <w:sz w:val="20"/>
                <w:szCs w:val="20"/>
              </w:rPr>
              <w:t>Bristol TTWA</w:t>
            </w:r>
          </w:p>
        </w:tc>
        <w:tc>
          <w:tcPr>
            <w:tcW w:w="198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jc w:val="center"/>
              <w:rPr>
                <w:sz w:val="20"/>
                <w:szCs w:val="20"/>
              </w:rPr>
            </w:pPr>
            <w:r w:rsidRPr="00C664D8">
              <w:rPr>
                <w:b/>
                <w:bCs/>
                <w:sz w:val="20"/>
                <w:szCs w:val="20"/>
              </w:rPr>
              <w:t>Liverpool TTWA</w:t>
            </w:r>
          </w:p>
        </w:tc>
        <w:tc>
          <w:tcPr>
            <w:tcW w:w="155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FB63F2" w:rsidRPr="00C664D8" w:rsidRDefault="00FB63F2" w:rsidP="00FB63F2">
            <w:pPr>
              <w:jc w:val="center"/>
              <w:rPr>
                <w:sz w:val="20"/>
                <w:szCs w:val="20"/>
              </w:rPr>
            </w:pPr>
            <w:r w:rsidRPr="00C664D8">
              <w:rPr>
                <w:b/>
                <w:bCs/>
                <w:sz w:val="20"/>
                <w:szCs w:val="20"/>
              </w:rPr>
              <w:t>UK</w:t>
            </w:r>
          </w:p>
        </w:tc>
      </w:tr>
      <w:tr w:rsidR="00FB63F2" w:rsidRPr="00C664D8" w:rsidTr="00A23736">
        <w:trPr>
          <w:trHeight w:val="366"/>
        </w:trPr>
        <w:tc>
          <w:tcPr>
            <w:tcW w:w="2129" w:type="dxa"/>
            <w:vMerge w:val="restar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Wealthy Achievers</w:t>
            </w:r>
          </w:p>
        </w:tc>
        <w:tc>
          <w:tcPr>
            <w:tcW w:w="226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Affluent Greys</w:t>
            </w:r>
          </w:p>
        </w:tc>
        <w:tc>
          <w:tcPr>
            <w:tcW w:w="1843"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4.71</w:t>
            </w:r>
          </w:p>
        </w:tc>
        <w:tc>
          <w:tcPr>
            <w:tcW w:w="198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2.62</w:t>
            </w:r>
          </w:p>
        </w:tc>
        <w:tc>
          <w:tcPr>
            <w:tcW w:w="1559"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7.90</w:t>
            </w:r>
          </w:p>
        </w:tc>
      </w:tr>
      <w:tr w:rsidR="00FB63F2" w:rsidRPr="00C664D8" w:rsidTr="00A23736">
        <w:trPr>
          <w:trHeight w:val="330"/>
        </w:trPr>
        <w:tc>
          <w:tcPr>
            <w:tcW w:w="2129" w:type="dxa"/>
            <w:vMerge/>
            <w:tcBorders>
              <w:top w:val="single" w:sz="8" w:space="0" w:color="FFFFFF"/>
              <w:left w:val="single" w:sz="8" w:space="0" w:color="FFFFFF"/>
              <w:bottom w:val="single" w:sz="8" w:space="0" w:color="FFFFFF"/>
              <w:right w:val="single" w:sz="8" w:space="0" w:color="FFFFFF"/>
            </w:tcBorders>
            <w:vAlign w:val="cente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Flourishing Families</w:t>
            </w:r>
          </w:p>
        </w:tc>
        <w:tc>
          <w:tcPr>
            <w:tcW w:w="1843"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8.43</w:t>
            </w:r>
          </w:p>
        </w:tc>
        <w:tc>
          <w:tcPr>
            <w:tcW w:w="198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7.43</w:t>
            </w:r>
          </w:p>
        </w:tc>
        <w:tc>
          <w:tcPr>
            <w:tcW w:w="1559"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9.00</w:t>
            </w:r>
          </w:p>
        </w:tc>
      </w:tr>
      <w:tr w:rsidR="00FB63F2" w:rsidRPr="00C664D8" w:rsidTr="00A23736">
        <w:trPr>
          <w:trHeight w:val="656"/>
        </w:trPr>
        <w:tc>
          <w:tcPr>
            <w:tcW w:w="21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Urban Prosperity</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Educated Urbanites</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4.88</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1.67</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5.50</w:t>
            </w:r>
          </w:p>
        </w:tc>
      </w:tr>
      <w:tr w:rsidR="00FB63F2" w:rsidRPr="00C664D8" w:rsidTr="00A23736">
        <w:trPr>
          <w:trHeight w:val="601"/>
        </w:trPr>
        <w:tc>
          <w:tcPr>
            <w:tcW w:w="2129" w:type="dxa"/>
            <w:vMerge w:val="restart"/>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Comfortably Off</w:t>
            </w:r>
          </w:p>
        </w:tc>
        <w:tc>
          <w:tcPr>
            <w:tcW w:w="2268"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Starting Out</w:t>
            </w:r>
          </w:p>
        </w:tc>
        <w:tc>
          <w:tcPr>
            <w:tcW w:w="1843"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7.23</w:t>
            </w:r>
          </w:p>
        </w:tc>
        <w:tc>
          <w:tcPr>
            <w:tcW w:w="1984"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1.34</w:t>
            </w:r>
          </w:p>
        </w:tc>
        <w:tc>
          <w:tcPr>
            <w:tcW w:w="1559"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3.10</w:t>
            </w:r>
          </w:p>
        </w:tc>
      </w:tr>
      <w:tr w:rsidR="00FB63F2" w:rsidRPr="00C664D8" w:rsidTr="00A23736">
        <w:trPr>
          <w:trHeight w:val="554"/>
        </w:trPr>
        <w:tc>
          <w:tcPr>
            <w:tcW w:w="2129" w:type="dxa"/>
            <w:vMerge/>
            <w:tcBorders>
              <w:top w:val="single" w:sz="8" w:space="0" w:color="FFFFFF"/>
              <w:left w:val="single" w:sz="8" w:space="0" w:color="FFFFFF"/>
              <w:bottom w:val="single" w:sz="8" w:space="0" w:color="FFFFFF"/>
              <w:right w:val="single" w:sz="8" w:space="0" w:color="FFFFFF"/>
            </w:tcBorders>
            <w:vAlign w:val="cente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Secure Families</w:t>
            </w:r>
          </w:p>
        </w:tc>
        <w:tc>
          <w:tcPr>
            <w:tcW w:w="1843"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16.32</w:t>
            </w:r>
          </w:p>
        </w:tc>
        <w:tc>
          <w:tcPr>
            <w:tcW w:w="1984"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19.41</w:t>
            </w:r>
          </w:p>
        </w:tc>
        <w:tc>
          <w:tcPr>
            <w:tcW w:w="1559"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15.50</w:t>
            </w:r>
          </w:p>
        </w:tc>
      </w:tr>
      <w:tr w:rsidR="00FB63F2" w:rsidRPr="00C664D8" w:rsidTr="00A23736">
        <w:trPr>
          <w:trHeight w:val="408"/>
        </w:trPr>
        <w:tc>
          <w:tcPr>
            <w:tcW w:w="2129" w:type="dxa"/>
            <w:vMerge/>
            <w:tcBorders>
              <w:top w:val="single" w:sz="8" w:space="0" w:color="FFFFFF"/>
              <w:left w:val="single" w:sz="8" w:space="0" w:color="FFFFFF"/>
              <w:bottom w:val="single" w:sz="8" w:space="0" w:color="FFFFFF"/>
              <w:right w:val="single" w:sz="8" w:space="0" w:color="FFFFFF"/>
            </w:tcBorders>
            <w:vAlign w:val="cente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Prudent Pensioners</w:t>
            </w:r>
          </w:p>
        </w:tc>
        <w:tc>
          <w:tcPr>
            <w:tcW w:w="1843"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3.50</w:t>
            </w:r>
          </w:p>
        </w:tc>
        <w:tc>
          <w:tcPr>
            <w:tcW w:w="1984"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3.28</w:t>
            </w:r>
          </w:p>
        </w:tc>
        <w:tc>
          <w:tcPr>
            <w:tcW w:w="1559" w:type="dxa"/>
            <w:tcBorders>
              <w:top w:val="single" w:sz="8" w:space="0" w:color="FFFFFF"/>
              <w:left w:val="single" w:sz="8" w:space="0" w:color="FFFFFF"/>
              <w:bottom w:val="single" w:sz="8" w:space="0" w:color="FFFFFF"/>
              <w:right w:val="single" w:sz="8" w:space="0" w:color="FFFFFF"/>
            </w:tcBorders>
            <w:shd w:val="clear" w:color="auto" w:fill="F2DCDB"/>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2.70</w:t>
            </w:r>
          </w:p>
        </w:tc>
      </w:tr>
      <w:tr w:rsidR="00FB63F2" w:rsidRPr="00C664D8" w:rsidTr="00A23736">
        <w:trPr>
          <w:trHeight w:val="644"/>
        </w:trPr>
        <w:tc>
          <w:tcPr>
            <w:tcW w:w="2129" w:type="dxa"/>
            <w:vMerge w:val="restart"/>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Moderate Means</w:t>
            </w:r>
          </w:p>
        </w:tc>
        <w:tc>
          <w:tcPr>
            <w:tcW w:w="2268"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Post-Industrial Families</w:t>
            </w:r>
          </w:p>
        </w:tc>
        <w:tc>
          <w:tcPr>
            <w:tcW w:w="1843"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9.90</w:t>
            </w:r>
          </w:p>
        </w:tc>
        <w:tc>
          <w:tcPr>
            <w:tcW w:w="1984"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4.54</w:t>
            </w:r>
          </w:p>
        </w:tc>
        <w:tc>
          <w:tcPr>
            <w:tcW w:w="1559"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4.70</w:t>
            </w:r>
          </w:p>
        </w:tc>
      </w:tr>
      <w:tr w:rsidR="00FB63F2" w:rsidRPr="00C664D8" w:rsidTr="00A23736">
        <w:trPr>
          <w:trHeight w:val="460"/>
        </w:trPr>
        <w:tc>
          <w:tcPr>
            <w:tcW w:w="2129" w:type="dxa"/>
            <w:vMerge/>
            <w:tcBorders>
              <w:top w:val="single" w:sz="8" w:space="0" w:color="FFFFFF"/>
              <w:left w:val="single" w:sz="8" w:space="0" w:color="FFFFFF"/>
              <w:bottom w:val="single" w:sz="8" w:space="0" w:color="FFFFFF"/>
              <w:right w:val="single" w:sz="8" w:space="0" w:color="FFFFFF"/>
            </w:tcBorders>
            <w:vAlign w:val="cente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Blue Collar Roots</w:t>
            </w:r>
          </w:p>
        </w:tc>
        <w:tc>
          <w:tcPr>
            <w:tcW w:w="1843"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7.52</w:t>
            </w:r>
          </w:p>
        </w:tc>
        <w:tc>
          <w:tcPr>
            <w:tcW w:w="1984"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10.60</w:t>
            </w:r>
          </w:p>
        </w:tc>
        <w:tc>
          <w:tcPr>
            <w:tcW w:w="1559" w:type="dxa"/>
            <w:tcBorders>
              <w:top w:val="single" w:sz="8" w:space="0" w:color="FFFFFF"/>
              <w:left w:val="single" w:sz="8" w:space="0" w:color="FFFFFF"/>
              <w:bottom w:val="single" w:sz="8" w:space="0" w:color="FFFFFF"/>
              <w:right w:val="single" w:sz="8" w:space="0" w:color="FFFFFF"/>
            </w:tcBorders>
            <w:shd w:val="clear" w:color="auto" w:fill="EBF1DE"/>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7.50</w:t>
            </w:r>
          </w:p>
        </w:tc>
      </w:tr>
      <w:tr w:rsidR="00FB63F2" w:rsidRPr="00C664D8" w:rsidTr="00A23736">
        <w:trPr>
          <w:trHeight w:val="540"/>
        </w:trPr>
        <w:tc>
          <w:tcPr>
            <w:tcW w:w="2129" w:type="dxa"/>
            <w:vMerge w:val="restart"/>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Hard Pressed</w:t>
            </w:r>
          </w:p>
        </w:tc>
        <w:tc>
          <w:tcPr>
            <w:tcW w:w="2268"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Struggling Families</w:t>
            </w:r>
          </w:p>
        </w:tc>
        <w:tc>
          <w:tcPr>
            <w:tcW w:w="1843"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11.27</w:t>
            </w:r>
          </w:p>
        </w:tc>
        <w:tc>
          <w:tcPr>
            <w:tcW w:w="1984"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23.56</w:t>
            </w:r>
          </w:p>
        </w:tc>
        <w:tc>
          <w:tcPr>
            <w:tcW w:w="1559"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13.30</w:t>
            </w:r>
          </w:p>
        </w:tc>
      </w:tr>
      <w:tr w:rsidR="00FB63F2" w:rsidRPr="00C664D8" w:rsidTr="00A23736">
        <w:trPr>
          <w:trHeight w:val="793"/>
        </w:trPr>
        <w:tc>
          <w:tcPr>
            <w:tcW w:w="2129" w:type="dxa"/>
            <w:vMerge/>
            <w:tcBorders>
              <w:top w:val="single" w:sz="8" w:space="0" w:color="FFFFFF"/>
              <w:left w:val="single" w:sz="8" w:space="0" w:color="FFFFFF"/>
              <w:bottom w:val="single" w:sz="8" w:space="0" w:color="FFFFFF"/>
              <w:right w:val="single" w:sz="8" w:space="0" w:color="FFFFFF"/>
            </w:tcBorders>
            <w:vAlign w:val="center"/>
            <w:hideMark/>
          </w:tcPr>
          <w:p w:rsidR="00FB63F2" w:rsidRPr="00C664D8" w:rsidRDefault="00FB63F2" w:rsidP="00FB63F2">
            <w:pPr>
              <w:rPr>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rPr>
                <w:sz w:val="20"/>
                <w:szCs w:val="20"/>
              </w:rPr>
            </w:pPr>
            <w:r w:rsidRPr="00C664D8">
              <w:rPr>
                <w:sz w:val="20"/>
                <w:szCs w:val="20"/>
              </w:rPr>
              <w:t>Burdened Singles</w:t>
            </w:r>
          </w:p>
        </w:tc>
        <w:tc>
          <w:tcPr>
            <w:tcW w:w="1843"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2.62</w:t>
            </w:r>
          </w:p>
        </w:tc>
        <w:tc>
          <w:tcPr>
            <w:tcW w:w="1984"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9.10</w:t>
            </w:r>
          </w:p>
        </w:tc>
        <w:tc>
          <w:tcPr>
            <w:tcW w:w="1559"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vAlign w:val="center"/>
            <w:hideMark/>
          </w:tcPr>
          <w:p w:rsidR="00FB63F2" w:rsidRPr="00C664D8" w:rsidRDefault="00FB63F2" w:rsidP="00FB63F2">
            <w:pPr>
              <w:jc w:val="center"/>
              <w:rPr>
                <w:sz w:val="20"/>
                <w:szCs w:val="20"/>
              </w:rPr>
            </w:pPr>
            <w:r w:rsidRPr="00C664D8">
              <w:rPr>
                <w:sz w:val="20"/>
                <w:szCs w:val="20"/>
              </w:rPr>
              <w:t>4.20</w:t>
            </w:r>
          </w:p>
        </w:tc>
      </w:tr>
    </w:tbl>
    <w:p w:rsidR="008F253C" w:rsidRDefault="00F7574C" w:rsidP="006A5D06">
      <w:r>
        <w:t xml:space="preserve"> </w:t>
      </w:r>
      <w:r w:rsidR="00FB63F2" w:rsidRPr="00FB63F2">
        <w:t xml:space="preserve"> </w:t>
      </w:r>
      <w:r w:rsidR="00FB63F2">
        <w:t xml:space="preserve">Source: </w:t>
      </w:r>
      <w:proofErr w:type="spellStart"/>
      <w:r w:rsidR="00FB63F2">
        <w:t>Ipsos</w:t>
      </w:r>
      <w:proofErr w:type="spellEnd"/>
      <w:r w:rsidR="00FB63F2">
        <w:t>-MORI</w:t>
      </w:r>
    </w:p>
    <w:p w:rsidR="00C664D8" w:rsidRDefault="00C664D8" w:rsidP="006A5D06"/>
    <w:p w:rsidR="00C664D8" w:rsidRPr="00C664D8" w:rsidRDefault="00C664D8" w:rsidP="00C664D8">
      <w:pPr>
        <w:rPr>
          <w:b/>
        </w:rPr>
      </w:pPr>
      <w:r w:rsidRPr="00C664D8">
        <w:rPr>
          <w:b/>
        </w:rPr>
        <w:t>Slides 5</w:t>
      </w:r>
      <w:r w:rsidR="00D54F8E">
        <w:rPr>
          <w:b/>
        </w:rPr>
        <w:t>3</w:t>
      </w:r>
      <w:r w:rsidRPr="00C664D8">
        <w:rPr>
          <w:b/>
        </w:rPr>
        <w:t>-6</w:t>
      </w:r>
      <w:r w:rsidR="00894658">
        <w:rPr>
          <w:b/>
        </w:rPr>
        <w:t>1</w:t>
      </w:r>
      <w:r w:rsidRPr="00C664D8">
        <w:rPr>
          <w:b/>
        </w:rPr>
        <w:t>: Findings from in-depth face-to-face household interviews</w:t>
      </w:r>
    </w:p>
    <w:p w:rsidR="00C664D8" w:rsidRDefault="00D54F8E" w:rsidP="00DE2B6E">
      <w:pPr>
        <w:ind w:left="720"/>
        <w:jc w:val="both"/>
        <w:rPr>
          <w:rFonts w:ascii="Arial" w:eastAsia="SimSun" w:hAnsi="Arial" w:cs="Times New Roman"/>
          <w:b/>
          <w:sz w:val="20"/>
        </w:rPr>
      </w:pPr>
      <w:r>
        <w:t>S</w:t>
      </w:r>
      <w:r w:rsidR="00C664D8" w:rsidRPr="00C664D8">
        <w:t xml:space="preserve">lides </w:t>
      </w:r>
      <w:r>
        <w:t xml:space="preserve">53-61 </w:t>
      </w:r>
      <w:r w:rsidR="00C664D8" w:rsidRPr="00C664D8">
        <w:t xml:space="preserve">are based on </w:t>
      </w:r>
      <w:r w:rsidR="00894658">
        <w:t xml:space="preserve">the findings of </w:t>
      </w:r>
      <w:r w:rsidR="00C664D8" w:rsidRPr="00C664D8">
        <w:t>follow-up face-to-face interviews with households chosen from the survey to reflect a spectrum of experiences and coping strategies.  58 face-to-face interviews of up to 1.5 hours were conducted in the two cities, mostly in participants’ homes, between September and December 2012.</w:t>
      </w:r>
    </w:p>
    <w:sectPr w:rsidR="00C664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36" w:rsidRDefault="00A23736" w:rsidP="00FB63F2">
      <w:pPr>
        <w:spacing w:after="0" w:line="240" w:lineRule="auto"/>
      </w:pPr>
      <w:r>
        <w:separator/>
      </w:r>
    </w:p>
  </w:endnote>
  <w:endnote w:type="continuationSeparator" w:id="0">
    <w:p w:rsidR="00A23736" w:rsidRDefault="00A23736" w:rsidP="00FB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39429"/>
      <w:docPartObj>
        <w:docPartGallery w:val="Page Numbers (Bottom of Page)"/>
        <w:docPartUnique/>
      </w:docPartObj>
    </w:sdtPr>
    <w:sdtEndPr>
      <w:rPr>
        <w:noProof/>
      </w:rPr>
    </w:sdtEndPr>
    <w:sdtContent>
      <w:p w:rsidR="004C4433" w:rsidRDefault="004C4433">
        <w:pPr>
          <w:pStyle w:val="Footer"/>
          <w:jc w:val="right"/>
        </w:pPr>
        <w:r>
          <w:fldChar w:fldCharType="begin"/>
        </w:r>
        <w:r>
          <w:instrText xml:space="preserve"> PAGE   \* MERGEFORMAT </w:instrText>
        </w:r>
        <w:r>
          <w:fldChar w:fldCharType="separate"/>
        </w:r>
        <w:r w:rsidR="00D0712B">
          <w:rPr>
            <w:noProof/>
          </w:rPr>
          <w:t>6</w:t>
        </w:r>
        <w:r>
          <w:rPr>
            <w:noProof/>
          </w:rPr>
          <w:fldChar w:fldCharType="end"/>
        </w:r>
      </w:p>
    </w:sdtContent>
  </w:sdt>
  <w:p w:rsidR="004C4433" w:rsidRDefault="004C4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36" w:rsidRDefault="00A23736" w:rsidP="00FB63F2">
      <w:pPr>
        <w:spacing w:after="0" w:line="240" w:lineRule="auto"/>
      </w:pPr>
      <w:r>
        <w:separator/>
      </w:r>
    </w:p>
  </w:footnote>
  <w:footnote w:type="continuationSeparator" w:id="0">
    <w:p w:rsidR="00A23736" w:rsidRDefault="00A23736" w:rsidP="00FB6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703"/>
    <w:multiLevelType w:val="hybridMultilevel"/>
    <w:tmpl w:val="93E89874"/>
    <w:lvl w:ilvl="0" w:tplc="6EBA7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B540F0"/>
    <w:multiLevelType w:val="multilevel"/>
    <w:tmpl w:val="D70A4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46EDC"/>
    <w:multiLevelType w:val="hybridMultilevel"/>
    <w:tmpl w:val="85F8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FF"/>
    <w:rsid w:val="0001103D"/>
    <w:rsid w:val="00015173"/>
    <w:rsid w:val="00017CD2"/>
    <w:rsid w:val="0003396E"/>
    <w:rsid w:val="00044533"/>
    <w:rsid w:val="00047EF2"/>
    <w:rsid w:val="000561E4"/>
    <w:rsid w:val="000A1445"/>
    <w:rsid w:val="001049D9"/>
    <w:rsid w:val="00147D61"/>
    <w:rsid w:val="00160A53"/>
    <w:rsid w:val="00160BDD"/>
    <w:rsid w:val="001C0F7B"/>
    <w:rsid w:val="001E3899"/>
    <w:rsid w:val="001F10F9"/>
    <w:rsid w:val="001F4C75"/>
    <w:rsid w:val="00224017"/>
    <w:rsid w:val="00245149"/>
    <w:rsid w:val="00267F3C"/>
    <w:rsid w:val="00270FE5"/>
    <w:rsid w:val="00272FB2"/>
    <w:rsid w:val="002802F0"/>
    <w:rsid w:val="00284155"/>
    <w:rsid w:val="002C2FA2"/>
    <w:rsid w:val="002F4596"/>
    <w:rsid w:val="00306A49"/>
    <w:rsid w:val="00337267"/>
    <w:rsid w:val="003707DD"/>
    <w:rsid w:val="003E3B99"/>
    <w:rsid w:val="003E4680"/>
    <w:rsid w:val="003F02DE"/>
    <w:rsid w:val="003F19B1"/>
    <w:rsid w:val="003F4C7B"/>
    <w:rsid w:val="00432D3C"/>
    <w:rsid w:val="004449C0"/>
    <w:rsid w:val="004800FE"/>
    <w:rsid w:val="004A532F"/>
    <w:rsid w:val="004B6765"/>
    <w:rsid w:val="004C4433"/>
    <w:rsid w:val="004D4790"/>
    <w:rsid w:val="004E45CE"/>
    <w:rsid w:val="004F0B65"/>
    <w:rsid w:val="004F4549"/>
    <w:rsid w:val="005147C7"/>
    <w:rsid w:val="0052374E"/>
    <w:rsid w:val="00524E40"/>
    <w:rsid w:val="005324BE"/>
    <w:rsid w:val="005431E9"/>
    <w:rsid w:val="005632E0"/>
    <w:rsid w:val="00593C10"/>
    <w:rsid w:val="005C04F2"/>
    <w:rsid w:val="00611214"/>
    <w:rsid w:val="0066494C"/>
    <w:rsid w:val="00674293"/>
    <w:rsid w:val="006849A9"/>
    <w:rsid w:val="006A5D06"/>
    <w:rsid w:val="006A6A7B"/>
    <w:rsid w:val="007050CE"/>
    <w:rsid w:val="007319E0"/>
    <w:rsid w:val="00784B0A"/>
    <w:rsid w:val="00785FAD"/>
    <w:rsid w:val="00793A72"/>
    <w:rsid w:val="00795F8A"/>
    <w:rsid w:val="007A4167"/>
    <w:rsid w:val="007E16F6"/>
    <w:rsid w:val="00811F71"/>
    <w:rsid w:val="00846A98"/>
    <w:rsid w:val="008633B4"/>
    <w:rsid w:val="00894658"/>
    <w:rsid w:val="008F253C"/>
    <w:rsid w:val="00900D5A"/>
    <w:rsid w:val="009271D9"/>
    <w:rsid w:val="009931F9"/>
    <w:rsid w:val="009B48CE"/>
    <w:rsid w:val="00A23736"/>
    <w:rsid w:val="00A70178"/>
    <w:rsid w:val="00AC77F5"/>
    <w:rsid w:val="00AE548E"/>
    <w:rsid w:val="00B00D05"/>
    <w:rsid w:val="00B26E74"/>
    <w:rsid w:val="00B26F63"/>
    <w:rsid w:val="00B306C3"/>
    <w:rsid w:val="00B433F2"/>
    <w:rsid w:val="00B53B25"/>
    <w:rsid w:val="00B55013"/>
    <w:rsid w:val="00C17793"/>
    <w:rsid w:val="00C358E0"/>
    <w:rsid w:val="00C5418F"/>
    <w:rsid w:val="00C664D8"/>
    <w:rsid w:val="00C675FC"/>
    <w:rsid w:val="00C831EA"/>
    <w:rsid w:val="00D0712B"/>
    <w:rsid w:val="00D30E0B"/>
    <w:rsid w:val="00D54F8E"/>
    <w:rsid w:val="00D8357B"/>
    <w:rsid w:val="00D850C3"/>
    <w:rsid w:val="00D94897"/>
    <w:rsid w:val="00DC68FD"/>
    <w:rsid w:val="00DD35C7"/>
    <w:rsid w:val="00DD5978"/>
    <w:rsid w:val="00DD694B"/>
    <w:rsid w:val="00DE2B6E"/>
    <w:rsid w:val="00E14470"/>
    <w:rsid w:val="00E51116"/>
    <w:rsid w:val="00E51AFF"/>
    <w:rsid w:val="00E5302B"/>
    <w:rsid w:val="00E5650A"/>
    <w:rsid w:val="00E83B05"/>
    <w:rsid w:val="00E93869"/>
    <w:rsid w:val="00EB3819"/>
    <w:rsid w:val="00EE0035"/>
    <w:rsid w:val="00F24064"/>
    <w:rsid w:val="00F2646C"/>
    <w:rsid w:val="00F546F7"/>
    <w:rsid w:val="00F54AFC"/>
    <w:rsid w:val="00F746C0"/>
    <w:rsid w:val="00F7574C"/>
    <w:rsid w:val="00F875BA"/>
    <w:rsid w:val="00FB63F2"/>
    <w:rsid w:val="00FC645E"/>
    <w:rsid w:val="00FC66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AFF"/>
    <w:rPr>
      <w:rFonts w:ascii="Times New Roman" w:hAnsi="Times New Roman" w:cs="Times New Roman"/>
      <w:sz w:val="24"/>
      <w:szCs w:val="24"/>
    </w:rPr>
  </w:style>
  <w:style w:type="character" w:styleId="Hyperlink">
    <w:name w:val="Hyperlink"/>
    <w:basedOn w:val="DefaultParagraphFont"/>
    <w:uiPriority w:val="99"/>
    <w:unhideWhenUsed/>
    <w:rsid w:val="00793A72"/>
    <w:rPr>
      <w:color w:val="0000FF" w:themeColor="hyperlink"/>
      <w:u w:val="single"/>
    </w:rPr>
  </w:style>
  <w:style w:type="paragraph" w:styleId="FootnoteText">
    <w:name w:val="footnote text"/>
    <w:basedOn w:val="Normal"/>
    <w:link w:val="FootnoteTextChar"/>
    <w:unhideWhenUsed/>
    <w:rsid w:val="005632E0"/>
    <w:rPr>
      <w:rFonts w:ascii="Calibri" w:eastAsia="SimSun" w:hAnsi="Calibri" w:cs="Times New Roman"/>
      <w:sz w:val="20"/>
      <w:szCs w:val="20"/>
      <w:lang w:val="x-none" w:eastAsia="x-none"/>
    </w:rPr>
  </w:style>
  <w:style w:type="character" w:customStyle="1" w:styleId="FootnoteTextChar">
    <w:name w:val="Footnote Text Char"/>
    <w:basedOn w:val="DefaultParagraphFont"/>
    <w:link w:val="FootnoteText"/>
    <w:rsid w:val="005632E0"/>
    <w:rPr>
      <w:rFonts w:ascii="Calibri" w:eastAsia="SimSun" w:hAnsi="Calibri" w:cs="Times New Roman"/>
      <w:sz w:val="20"/>
      <w:szCs w:val="20"/>
      <w:lang w:val="x-none" w:eastAsia="x-none"/>
    </w:rPr>
  </w:style>
  <w:style w:type="paragraph" w:styleId="EndnoteText">
    <w:name w:val="endnote text"/>
    <w:basedOn w:val="Normal"/>
    <w:link w:val="EndnoteTextChar"/>
    <w:uiPriority w:val="99"/>
    <w:semiHidden/>
    <w:unhideWhenUsed/>
    <w:rsid w:val="00FB63F2"/>
    <w:pPr>
      <w:spacing w:after="0" w:line="240" w:lineRule="auto"/>
    </w:pPr>
    <w:rPr>
      <w:sz w:val="20"/>
      <w:szCs w:val="20"/>
      <w:lang w:eastAsia="en-GB"/>
    </w:rPr>
  </w:style>
  <w:style w:type="character" w:customStyle="1" w:styleId="EndnoteTextChar">
    <w:name w:val="Endnote Text Char"/>
    <w:basedOn w:val="DefaultParagraphFont"/>
    <w:link w:val="EndnoteText"/>
    <w:uiPriority w:val="99"/>
    <w:semiHidden/>
    <w:rsid w:val="00FB63F2"/>
    <w:rPr>
      <w:sz w:val="20"/>
      <w:szCs w:val="20"/>
      <w:lang w:eastAsia="en-GB"/>
    </w:rPr>
  </w:style>
  <w:style w:type="character" w:styleId="EndnoteReference">
    <w:name w:val="endnote reference"/>
    <w:basedOn w:val="DefaultParagraphFont"/>
    <w:uiPriority w:val="99"/>
    <w:semiHidden/>
    <w:unhideWhenUsed/>
    <w:rsid w:val="00FB63F2"/>
    <w:rPr>
      <w:vertAlign w:val="superscript"/>
    </w:rPr>
  </w:style>
  <w:style w:type="paragraph" w:styleId="BalloonText">
    <w:name w:val="Balloon Text"/>
    <w:basedOn w:val="Normal"/>
    <w:link w:val="BalloonTextChar"/>
    <w:uiPriority w:val="99"/>
    <w:semiHidden/>
    <w:unhideWhenUsed/>
    <w:rsid w:val="0010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D9"/>
    <w:rPr>
      <w:rFonts w:ascii="Tahoma" w:hAnsi="Tahoma" w:cs="Tahoma"/>
      <w:sz w:val="16"/>
      <w:szCs w:val="16"/>
    </w:rPr>
  </w:style>
  <w:style w:type="table" w:customStyle="1" w:styleId="TableGrid1">
    <w:name w:val="Table Grid1"/>
    <w:basedOn w:val="TableNormal"/>
    <w:next w:val="TableGrid"/>
    <w:uiPriority w:val="59"/>
    <w:rsid w:val="006A5D06"/>
    <w:pPr>
      <w:spacing w:after="0" w:line="240" w:lineRule="auto"/>
    </w:pPr>
    <w:rPr>
      <w:rFonts w:ascii="Arial" w:hAnsi="Ari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A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0C3"/>
  </w:style>
  <w:style w:type="paragraph" w:styleId="Footer">
    <w:name w:val="footer"/>
    <w:basedOn w:val="Normal"/>
    <w:link w:val="FooterChar"/>
    <w:uiPriority w:val="99"/>
    <w:unhideWhenUsed/>
    <w:rsid w:val="00D85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0C3"/>
  </w:style>
  <w:style w:type="paragraph" w:styleId="ListParagraph">
    <w:name w:val="List Paragraph"/>
    <w:basedOn w:val="Normal"/>
    <w:uiPriority w:val="34"/>
    <w:qFormat/>
    <w:rsid w:val="00F75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AFF"/>
    <w:rPr>
      <w:rFonts w:ascii="Times New Roman" w:hAnsi="Times New Roman" w:cs="Times New Roman"/>
      <w:sz w:val="24"/>
      <w:szCs w:val="24"/>
    </w:rPr>
  </w:style>
  <w:style w:type="character" w:styleId="Hyperlink">
    <w:name w:val="Hyperlink"/>
    <w:basedOn w:val="DefaultParagraphFont"/>
    <w:uiPriority w:val="99"/>
    <w:unhideWhenUsed/>
    <w:rsid w:val="00793A72"/>
    <w:rPr>
      <w:color w:val="0000FF" w:themeColor="hyperlink"/>
      <w:u w:val="single"/>
    </w:rPr>
  </w:style>
  <w:style w:type="paragraph" w:styleId="FootnoteText">
    <w:name w:val="footnote text"/>
    <w:basedOn w:val="Normal"/>
    <w:link w:val="FootnoteTextChar"/>
    <w:unhideWhenUsed/>
    <w:rsid w:val="005632E0"/>
    <w:rPr>
      <w:rFonts w:ascii="Calibri" w:eastAsia="SimSun" w:hAnsi="Calibri" w:cs="Times New Roman"/>
      <w:sz w:val="20"/>
      <w:szCs w:val="20"/>
      <w:lang w:val="x-none" w:eastAsia="x-none"/>
    </w:rPr>
  </w:style>
  <w:style w:type="character" w:customStyle="1" w:styleId="FootnoteTextChar">
    <w:name w:val="Footnote Text Char"/>
    <w:basedOn w:val="DefaultParagraphFont"/>
    <w:link w:val="FootnoteText"/>
    <w:rsid w:val="005632E0"/>
    <w:rPr>
      <w:rFonts w:ascii="Calibri" w:eastAsia="SimSun" w:hAnsi="Calibri" w:cs="Times New Roman"/>
      <w:sz w:val="20"/>
      <w:szCs w:val="20"/>
      <w:lang w:val="x-none" w:eastAsia="x-none"/>
    </w:rPr>
  </w:style>
  <w:style w:type="paragraph" w:styleId="EndnoteText">
    <w:name w:val="endnote text"/>
    <w:basedOn w:val="Normal"/>
    <w:link w:val="EndnoteTextChar"/>
    <w:uiPriority w:val="99"/>
    <w:semiHidden/>
    <w:unhideWhenUsed/>
    <w:rsid w:val="00FB63F2"/>
    <w:pPr>
      <w:spacing w:after="0" w:line="240" w:lineRule="auto"/>
    </w:pPr>
    <w:rPr>
      <w:sz w:val="20"/>
      <w:szCs w:val="20"/>
      <w:lang w:eastAsia="en-GB"/>
    </w:rPr>
  </w:style>
  <w:style w:type="character" w:customStyle="1" w:styleId="EndnoteTextChar">
    <w:name w:val="Endnote Text Char"/>
    <w:basedOn w:val="DefaultParagraphFont"/>
    <w:link w:val="EndnoteText"/>
    <w:uiPriority w:val="99"/>
    <w:semiHidden/>
    <w:rsid w:val="00FB63F2"/>
    <w:rPr>
      <w:sz w:val="20"/>
      <w:szCs w:val="20"/>
      <w:lang w:eastAsia="en-GB"/>
    </w:rPr>
  </w:style>
  <w:style w:type="character" w:styleId="EndnoteReference">
    <w:name w:val="endnote reference"/>
    <w:basedOn w:val="DefaultParagraphFont"/>
    <w:uiPriority w:val="99"/>
    <w:semiHidden/>
    <w:unhideWhenUsed/>
    <w:rsid w:val="00FB63F2"/>
    <w:rPr>
      <w:vertAlign w:val="superscript"/>
    </w:rPr>
  </w:style>
  <w:style w:type="paragraph" w:styleId="BalloonText">
    <w:name w:val="Balloon Text"/>
    <w:basedOn w:val="Normal"/>
    <w:link w:val="BalloonTextChar"/>
    <w:uiPriority w:val="99"/>
    <w:semiHidden/>
    <w:unhideWhenUsed/>
    <w:rsid w:val="0010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D9"/>
    <w:rPr>
      <w:rFonts w:ascii="Tahoma" w:hAnsi="Tahoma" w:cs="Tahoma"/>
      <w:sz w:val="16"/>
      <w:szCs w:val="16"/>
    </w:rPr>
  </w:style>
  <w:style w:type="table" w:customStyle="1" w:styleId="TableGrid1">
    <w:name w:val="Table Grid1"/>
    <w:basedOn w:val="TableNormal"/>
    <w:next w:val="TableGrid"/>
    <w:uiPriority w:val="59"/>
    <w:rsid w:val="006A5D06"/>
    <w:pPr>
      <w:spacing w:after="0" w:line="240" w:lineRule="auto"/>
    </w:pPr>
    <w:rPr>
      <w:rFonts w:ascii="Arial" w:hAnsi="Ari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A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0C3"/>
  </w:style>
  <w:style w:type="paragraph" w:styleId="Footer">
    <w:name w:val="footer"/>
    <w:basedOn w:val="Normal"/>
    <w:link w:val="FooterChar"/>
    <w:uiPriority w:val="99"/>
    <w:unhideWhenUsed/>
    <w:rsid w:val="00D85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0C3"/>
  </w:style>
  <w:style w:type="paragraph" w:styleId="ListParagraph">
    <w:name w:val="List Paragraph"/>
    <w:basedOn w:val="Normal"/>
    <w:uiPriority w:val="34"/>
    <w:qFormat/>
    <w:rsid w:val="00F7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1937">
      <w:bodyDiv w:val="1"/>
      <w:marLeft w:val="0"/>
      <w:marRight w:val="0"/>
      <w:marTop w:val="0"/>
      <w:marBottom w:val="0"/>
      <w:divBdr>
        <w:top w:val="none" w:sz="0" w:space="0" w:color="auto"/>
        <w:left w:val="none" w:sz="0" w:space="0" w:color="auto"/>
        <w:bottom w:val="none" w:sz="0" w:space="0" w:color="auto"/>
        <w:right w:val="none" w:sz="0" w:space="0" w:color="auto"/>
      </w:divBdr>
    </w:div>
    <w:div w:id="1080054717">
      <w:bodyDiv w:val="1"/>
      <w:marLeft w:val="0"/>
      <w:marRight w:val="0"/>
      <w:marTop w:val="0"/>
      <w:marBottom w:val="0"/>
      <w:divBdr>
        <w:top w:val="none" w:sz="0" w:space="0" w:color="auto"/>
        <w:left w:val="none" w:sz="0" w:space="0" w:color="auto"/>
        <w:bottom w:val="none" w:sz="0" w:space="0" w:color="auto"/>
        <w:right w:val="none" w:sz="0" w:space="0" w:color="auto"/>
      </w:divBdr>
      <w:divsChild>
        <w:div w:id="336274283">
          <w:marLeft w:val="0"/>
          <w:marRight w:val="0"/>
          <w:marTop w:val="0"/>
          <w:marBottom w:val="0"/>
          <w:divBdr>
            <w:top w:val="none" w:sz="0" w:space="0" w:color="auto"/>
            <w:left w:val="none" w:sz="0" w:space="0" w:color="auto"/>
            <w:bottom w:val="none" w:sz="0" w:space="0" w:color="auto"/>
            <w:right w:val="none" w:sz="0" w:space="0" w:color="auto"/>
          </w:divBdr>
          <w:divsChild>
            <w:div w:id="1944261735">
              <w:marLeft w:val="0"/>
              <w:marRight w:val="0"/>
              <w:marTop w:val="0"/>
              <w:marBottom w:val="0"/>
              <w:divBdr>
                <w:top w:val="single" w:sz="12" w:space="0" w:color="CECECE"/>
                <w:left w:val="single" w:sz="12" w:space="3" w:color="CECECE"/>
                <w:bottom w:val="none" w:sz="0" w:space="0" w:color="auto"/>
                <w:right w:val="single" w:sz="12" w:space="0" w:color="CECECE"/>
              </w:divBdr>
              <w:divsChild>
                <w:div w:id="1291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8619">
      <w:bodyDiv w:val="1"/>
      <w:marLeft w:val="0"/>
      <w:marRight w:val="0"/>
      <w:marTop w:val="0"/>
      <w:marBottom w:val="0"/>
      <w:divBdr>
        <w:top w:val="none" w:sz="0" w:space="0" w:color="auto"/>
        <w:left w:val="none" w:sz="0" w:space="0" w:color="auto"/>
        <w:bottom w:val="none" w:sz="0" w:space="0" w:color="auto"/>
        <w:right w:val="none" w:sz="0" w:space="0" w:color="auto"/>
      </w:divBdr>
    </w:div>
    <w:div w:id="1199969921">
      <w:bodyDiv w:val="1"/>
      <w:marLeft w:val="0"/>
      <w:marRight w:val="0"/>
      <w:marTop w:val="0"/>
      <w:marBottom w:val="0"/>
      <w:divBdr>
        <w:top w:val="none" w:sz="0" w:space="0" w:color="auto"/>
        <w:left w:val="none" w:sz="0" w:space="0" w:color="auto"/>
        <w:bottom w:val="none" w:sz="0" w:space="0" w:color="auto"/>
        <w:right w:val="none" w:sz="0" w:space="0" w:color="auto"/>
      </w:divBdr>
    </w:div>
    <w:div w:id="1582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fairnesscommission.com/report.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english-indices-of-deprivation-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Meegan, Richard</dc:creator>
  <cp:lastModifiedBy>Meegan, Richard</cp:lastModifiedBy>
  <cp:revision>3</cp:revision>
  <cp:lastPrinted>2013-12-23T12:11:00Z</cp:lastPrinted>
  <dcterms:created xsi:type="dcterms:W3CDTF">2014-01-08T09:45:00Z</dcterms:created>
  <dcterms:modified xsi:type="dcterms:W3CDTF">2014-01-08T09:46:00Z</dcterms:modified>
</cp:coreProperties>
</file>