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60" w:rsidRPr="00B47124" w:rsidRDefault="00E61C60">
      <w:pPr>
        <w:rPr>
          <w:b/>
          <w:sz w:val="32"/>
        </w:rPr>
      </w:pPr>
      <w:r w:rsidRPr="00B47124">
        <w:rPr>
          <w:b/>
          <w:sz w:val="32"/>
        </w:rPr>
        <w:t>Pathways to Impact – guidance on costing for UK Research Council grants</w:t>
      </w:r>
    </w:p>
    <w:p w:rsidR="0074183C" w:rsidRDefault="00E61C60">
      <w:r w:rsidRPr="00E61C60">
        <w:t xml:space="preserve">UK Research Councils have required Pathways to Impact </w:t>
      </w:r>
      <w:r w:rsidR="007B559D">
        <w:t>statements</w:t>
      </w:r>
      <w:r w:rsidRPr="00E61C60">
        <w:t xml:space="preserve"> for &gt;5 years. Despite repeated encouragement from the Councils grant proposals typically allocate only 2-3% of their costs towards impact activities. </w:t>
      </w:r>
      <w:r w:rsidR="0074183C">
        <w:t>From April 2015 a</w:t>
      </w:r>
      <w:r w:rsidR="0074183C" w:rsidRPr="0074183C">
        <w:t xml:space="preserve">ll Research Council </w:t>
      </w:r>
      <w:r w:rsidR="0074183C">
        <w:t xml:space="preserve">Panels </w:t>
      </w:r>
      <w:r w:rsidR="0074183C" w:rsidRPr="0074183C">
        <w:t>will require a clearly thought through and acceptable Pathways to Impact statement as a condition of funding</w:t>
      </w:r>
      <w:r w:rsidR="0074183C">
        <w:t xml:space="preserve">. </w:t>
      </w:r>
      <w:r w:rsidR="003C026D">
        <w:t>Based on the proportion of their budget allocated for knowledge transfer and impact (EPSRC</w:t>
      </w:r>
      <w:r w:rsidR="00AB4DCF">
        <w:t>:</w:t>
      </w:r>
      <w:r w:rsidR="003C026D">
        <w:t xml:space="preserve"> 20% in 2014/15) we suggest that up to 10% of costs would be acceptable for impact work</w:t>
      </w:r>
      <w:r w:rsidR="00AB4DCF">
        <w:t>,</w:t>
      </w:r>
      <w:r w:rsidR="00A57856">
        <w:t xml:space="preserve"> </w:t>
      </w:r>
      <w:r w:rsidR="00A57856">
        <w:t xml:space="preserve">where this is appropriate </w:t>
      </w:r>
      <w:r w:rsidR="00AB4DCF">
        <w:t>for the proposed</w:t>
      </w:r>
      <w:r w:rsidR="00A57856">
        <w:t xml:space="preserve"> research.</w:t>
      </w:r>
    </w:p>
    <w:p w:rsidR="0074183C" w:rsidRPr="00E61C60" w:rsidRDefault="00E61C60" w:rsidP="0074183C">
      <w:r w:rsidRPr="00E61C60">
        <w:t xml:space="preserve">This guide suggests </w:t>
      </w:r>
      <w:r w:rsidR="006123D6">
        <w:t xml:space="preserve">possible </w:t>
      </w:r>
      <w:r w:rsidRPr="00E61C60">
        <w:t>activities and typical costs for grant proposals, including ways to account for the staf</w:t>
      </w:r>
      <w:r w:rsidR="0074183C">
        <w:t>f time required for impact work.</w:t>
      </w:r>
      <w:r>
        <w:t xml:space="preserve"> </w:t>
      </w:r>
      <w:r w:rsidR="0074183C">
        <w:t xml:space="preserve"> </w:t>
      </w:r>
      <w:r w:rsidR="00AB4DCF">
        <w:t>I</w:t>
      </w:r>
      <w:r>
        <w:t>ndustry, business, public sector bodies</w:t>
      </w:r>
      <w:r w:rsidR="007819D0">
        <w:t>,</w:t>
      </w:r>
      <w:r>
        <w:t xml:space="preserve"> charities</w:t>
      </w:r>
      <w:r w:rsidR="007819D0">
        <w:t xml:space="preserve"> and communities</w:t>
      </w:r>
      <w:r>
        <w:t xml:space="preserve">, in the UK or abroad, are described </w:t>
      </w:r>
      <w:r w:rsidR="00AB4DCF">
        <w:t xml:space="preserve">throughout </w:t>
      </w:r>
      <w:r>
        <w:t>as “stakeholders”.</w:t>
      </w:r>
      <w:r w:rsidR="0074183C">
        <w:t xml:space="preserve"> </w:t>
      </w:r>
      <w:r w:rsidR="0074183C" w:rsidRPr="007B559D">
        <w:rPr>
          <w:i/>
        </w:rPr>
        <w:t xml:space="preserve">It is important to request funds </w:t>
      </w:r>
      <w:r w:rsidR="0074183C" w:rsidRPr="007B559D">
        <w:rPr>
          <w:i/>
          <w:u w:val="single"/>
        </w:rPr>
        <w:t>within grants</w:t>
      </w:r>
      <w:r w:rsidR="0074183C">
        <w:rPr>
          <w:i/>
        </w:rPr>
        <w:t xml:space="preserve"> </w:t>
      </w:r>
      <w:r w:rsidR="0074183C" w:rsidRPr="007B559D">
        <w:rPr>
          <w:i/>
        </w:rPr>
        <w:t>for all anticipate</w:t>
      </w:r>
      <w:r w:rsidR="0086734A">
        <w:rPr>
          <w:i/>
        </w:rPr>
        <w:t>d</w:t>
      </w:r>
      <w:r w:rsidR="0074183C" w:rsidRPr="007B559D">
        <w:rPr>
          <w:i/>
        </w:rPr>
        <w:t xml:space="preserve"> impact work</w:t>
      </w:r>
      <w:r w:rsidR="00805D9F">
        <w:rPr>
          <w:i/>
        </w:rPr>
        <w:t xml:space="preserve">, </w:t>
      </w:r>
      <w:r w:rsidR="00A57856">
        <w:rPr>
          <w:i/>
        </w:rPr>
        <w:t>lengthen</w:t>
      </w:r>
      <w:r w:rsidR="00805D9F">
        <w:rPr>
          <w:i/>
        </w:rPr>
        <w:t>ing</w:t>
      </w:r>
      <w:r w:rsidR="00A57856">
        <w:rPr>
          <w:i/>
        </w:rPr>
        <w:t xml:space="preserve"> the award period if necessary, </w:t>
      </w:r>
      <w:r w:rsidR="0074183C" w:rsidRPr="007B559D">
        <w:rPr>
          <w:i/>
        </w:rPr>
        <w:t xml:space="preserve">as we cannot secure sufficient funds post hoc to support all the impact needs </w:t>
      </w:r>
      <w:r w:rsidR="0074183C">
        <w:rPr>
          <w:i/>
        </w:rPr>
        <w:t>of</w:t>
      </w:r>
      <w:r w:rsidR="0074183C" w:rsidRPr="007B559D">
        <w:rPr>
          <w:i/>
        </w:rPr>
        <w:t xml:space="preserve"> the University</w:t>
      </w:r>
      <w:r w:rsidR="0074183C">
        <w:rPr>
          <w:i/>
        </w:rPr>
        <w:t>.</w:t>
      </w:r>
    </w:p>
    <w:p w:rsidR="00962B40" w:rsidRPr="00E61C60" w:rsidRDefault="006123D6">
      <w:r>
        <w:t xml:space="preserve">Please use this as a prompt towards the plans and activities appropriate for </w:t>
      </w:r>
      <w:r w:rsidRPr="006123D6">
        <w:rPr>
          <w:u w:val="single"/>
        </w:rPr>
        <w:t>your</w:t>
      </w:r>
      <w:r>
        <w:t xml:space="preserve"> research.</w:t>
      </w:r>
      <w:r w:rsidR="0074183C">
        <w:t xml:space="preserve"> Yo</w:t>
      </w:r>
      <w:r w:rsidR="00962B40">
        <w:t>u may wish to talk</w:t>
      </w:r>
      <w:r w:rsidR="0074183C">
        <w:t xml:space="preserve"> with RED, CPE or Policy Bristol in planning your impact; and </w:t>
      </w:r>
      <w:r w:rsidR="00962B40">
        <w:t xml:space="preserve">to RED’s Commercialisation </w:t>
      </w:r>
      <w:r w:rsidR="0074183C">
        <w:t xml:space="preserve">&amp; Impact Development </w:t>
      </w:r>
      <w:r w:rsidR="00962B40">
        <w:t>team before sharing results</w:t>
      </w:r>
      <w:r w:rsidR="0074183C">
        <w:t xml:space="preserve"> with commercial potential.</w:t>
      </w:r>
    </w:p>
    <w:p w:rsidR="00E61C60" w:rsidRPr="00B47124" w:rsidRDefault="00E61C60" w:rsidP="00C53A2C">
      <w:pPr>
        <w:spacing w:after="0"/>
        <w:rPr>
          <w:b/>
          <w:color w:val="2E74B5" w:themeColor="accent1" w:themeShade="BF"/>
          <w:sz w:val="24"/>
        </w:rPr>
      </w:pPr>
      <w:r w:rsidRPr="00B47124">
        <w:rPr>
          <w:b/>
          <w:color w:val="2E74B5" w:themeColor="accent1" w:themeShade="BF"/>
          <w:sz w:val="24"/>
        </w:rPr>
        <w:t>Possible Impact Activities</w:t>
      </w:r>
      <w:r w:rsidR="006C56BF" w:rsidRPr="00B47124">
        <w:rPr>
          <w:b/>
          <w:color w:val="2E74B5" w:themeColor="accent1" w:themeShade="BF"/>
          <w:sz w:val="24"/>
        </w:rPr>
        <w:t xml:space="preserve"> (in no particular order)</w:t>
      </w:r>
      <w:r w:rsidRPr="00B47124">
        <w:rPr>
          <w:b/>
          <w:color w:val="2E74B5" w:themeColor="accent1" w:themeShade="BF"/>
          <w:sz w:val="24"/>
        </w:rPr>
        <w:t>:</w:t>
      </w:r>
    </w:p>
    <w:p w:rsidR="00E61C60" w:rsidRDefault="00C53A2C"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School</w:t>
      </w:r>
      <w:r w:rsidR="00E61C60" w:rsidRPr="00277B5D">
        <w:rPr>
          <w:rFonts w:asciiTheme="minorHAnsi" w:hAnsiTheme="minorHAnsi"/>
          <w:b/>
          <w:sz w:val="22"/>
        </w:rPr>
        <w:t>s engagement</w:t>
      </w:r>
      <w:r w:rsidR="00E61C60">
        <w:rPr>
          <w:rFonts w:asciiTheme="minorHAnsi" w:hAnsiTheme="minorHAnsi"/>
          <w:sz w:val="22"/>
        </w:rPr>
        <w:t xml:space="preserve"> could require c</w:t>
      </w:r>
      <w:r w:rsidRPr="00E61C60">
        <w:rPr>
          <w:rFonts w:asciiTheme="minorHAnsi" w:hAnsiTheme="minorHAnsi"/>
          <w:sz w:val="22"/>
        </w:rPr>
        <w:t>onsumables</w:t>
      </w:r>
      <w:r w:rsidR="00E61C60">
        <w:rPr>
          <w:rFonts w:asciiTheme="minorHAnsi" w:hAnsiTheme="minorHAnsi"/>
          <w:sz w:val="22"/>
        </w:rPr>
        <w:t xml:space="preserve"> and equipment (£100 – 1,000), staff travel (£20 – 200), teacher time to collaborate and develop materials @ £30/hr, coaches for day trips @ £150 each…</w:t>
      </w:r>
    </w:p>
    <w:p w:rsidR="006123D6" w:rsidRDefault="00E61C60" w:rsidP="006123D6">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Large public events </w:t>
      </w:r>
      <w:r>
        <w:rPr>
          <w:rFonts w:asciiTheme="minorHAnsi" w:hAnsiTheme="minorHAnsi"/>
          <w:sz w:val="22"/>
        </w:rPr>
        <w:t>such as the Bristol Festival of Nature</w:t>
      </w:r>
      <w:r w:rsidR="00341602">
        <w:rPr>
          <w:rFonts w:asciiTheme="minorHAnsi" w:hAnsiTheme="minorHAnsi"/>
          <w:sz w:val="22"/>
        </w:rPr>
        <w:t>,</w:t>
      </w:r>
      <w:r>
        <w:rPr>
          <w:rFonts w:asciiTheme="minorHAnsi" w:hAnsiTheme="minorHAnsi"/>
          <w:sz w:val="22"/>
        </w:rPr>
        <w:t xml:space="preserve"> Royal Society Summer Exhibition </w:t>
      </w:r>
      <w:r w:rsidR="00341602">
        <w:rPr>
          <w:rFonts w:asciiTheme="minorHAnsi" w:hAnsiTheme="minorHAnsi"/>
          <w:sz w:val="22"/>
        </w:rPr>
        <w:t xml:space="preserve">and major art exhibitions </w:t>
      </w:r>
      <w:r>
        <w:rPr>
          <w:rFonts w:asciiTheme="minorHAnsi" w:hAnsiTheme="minorHAnsi"/>
          <w:sz w:val="22"/>
        </w:rPr>
        <w:t>can cost from £1,000 - £</w:t>
      </w:r>
      <w:r w:rsidR="00341602">
        <w:rPr>
          <w:rFonts w:asciiTheme="minorHAnsi" w:hAnsiTheme="minorHAnsi"/>
          <w:sz w:val="22"/>
        </w:rPr>
        <w:t>2</w:t>
      </w:r>
      <w:r>
        <w:rPr>
          <w:rFonts w:asciiTheme="minorHAnsi" w:hAnsiTheme="minorHAnsi"/>
          <w:sz w:val="22"/>
        </w:rPr>
        <w:t xml:space="preserve">0,000; </w:t>
      </w:r>
      <w:r w:rsidR="0086734A">
        <w:rPr>
          <w:rFonts w:asciiTheme="minorHAnsi" w:hAnsiTheme="minorHAnsi"/>
          <w:sz w:val="22"/>
        </w:rPr>
        <w:t xml:space="preserve">consider access for visually impaired, hard of hearing or disabled participants; </w:t>
      </w:r>
      <w:r>
        <w:rPr>
          <w:rFonts w:asciiTheme="minorHAnsi" w:hAnsiTheme="minorHAnsi"/>
          <w:sz w:val="22"/>
        </w:rPr>
        <w:t>Centre for Public Engagement can advise</w:t>
      </w:r>
      <w:r w:rsidR="0086734A">
        <w:rPr>
          <w:rFonts w:asciiTheme="minorHAnsi" w:hAnsiTheme="minorHAnsi"/>
          <w:sz w:val="22"/>
        </w:rPr>
        <w:t xml:space="preserve"> on public events</w:t>
      </w:r>
    </w:p>
    <w:p w:rsidR="006123D6" w:rsidRDefault="006123D6" w:rsidP="006123D6">
      <w:pPr>
        <w:pStyle w:val="ListParagraph"/>
        <w:numPr>
          <w:ilvl w:val="0"/>
          <w:numId w:val="6"/>
        </w:numPr>
        <w:spacing w:after="0"/>
        <w:ind w:left="360"/>
        <w:rPr>
          <w:rFonts w:asciiTheme="minorHAnsi" w:hAnsiTheme="minorHAnsi"/>
          <w:sz w:val="22"/>
        </w:rPr>
      </w:pPr>
      <w:r w:rsidRPr="00277B5D">
        <w:rPr>
          <w:rFonts w:asciiTheme="minorHAnsi" w:hAnsiTheme="minorHAnsi"/>
          <w:b/>
          <w:sz w:val="22"/>
        </w:rPr>
        <w:t>Public Discussions</w:t>
      </w:r>
      <w:r>
        <w:rPr>
          <w:rFonts w:asciiTheme="minorHAnsi" w:hAnsiTheme="minorHAnsi"/>
          <w:sz w:val="22"/>
        </w:rPr>
        <w:t xml:space="preserve"> – Café </w:t>
      </w:r>
      <w:proofErr w:type="spellStart"/>
      <w:r>
        <w:rPr>
          <w:rFonts w:asciiTheme="minorHAnsi" w:hAnsiTheme="minorHAnsi"/>
          <w:sz w:val="22"/>
        </w:rPr>
        <w:t>Scientifique</w:t>
      </w:r>
      <w:proofErr w:type="spellEnd"/>
      <w:r>
        <w:rPr>
          <w:rFonts w:asciiTheme="minorHAnsi" w:hAnsiTheme="minorHAnsi"/>
          <w:sz w:val="22"/>
        </w:rPr>
        <w:t>, Festival of Ideas</w:t>
      </w:r>
      <w:r w:rsidR="00B57D61">
        <w:rPr>
          <w:rFonts w:asciiTheme="minorHAnsi" w:hAnsiTheme="minorHAnsi"/>
          <w:sz w:val="22"/>
        </w:rPr>
        <w:t xml:space="preserve">, Twilight Talks, </w:t>
      </w:r>
      <w:proofErr w:type="spellStart"/>
      <w:r w:rsidR="007819D0">
        <w:rPr>
          <w:rFonts w:asciiTheme="minorHAnsi" w:hAnsiTheme="minorHAnsi"/>
          <w:sz w:val="22"/>
        </w:rPr>
        <w:t>InsideArts</w:t>
      </w:r>
      <w:proofErr w:type="spellEnd"/>
      <w:r w:rsidR="007819D0">
        <w:rPr>
          <w:rFonts w:asciiTheme="minorHAnsi" w:hAnsiTheme="minorHAnsi"/>
          <w:sz w:val="22"/>
        </w:rPr>
        <w:t>, Thinking Futures</w:t>
      </w:r>
      <w:r>
        <w:rPr>
          <w:rFonts w:asciiTheme="minorHAnsi" w:hAnsiTheme="minorHAnsi"/>
          <w:sz w:val="22"/>
        </w:rPr>
        <w:t xml:space="preserve"> and other events can be low or no cost; consider whether there is publicity and if you can support this via social media; include travel costs for you or your research team  </w:t>
      </w:r>
    </w:p>
    <w:p w:rsidR="00C059BA" w:rsidRDefault="00C059BA" w:rsidP="00C059BA">
      <w:pPr>
        <w:pStyle w:val="ListParagraph"/>
        <w:numPr>
          <w:ilvl w:val="0"/>
          <w:numId w:val="6"/>
        </w:numPr>
        <w:spacing w:after="0"/>
        <w:ind w:left="360"/>
        <w:rPr>
          <w:rFonts w:asciiTheme="minorHAnsi" w:hAnsiTheme="minorHAnsi"/>
          <w:sz w:val="22"/>
        </w:rPr>
      </w:pPr>
      <w:r w:rsidRPr="00277B5D">
        <w:rPr>
          <w:rFonts w:asciiTheme="minorHAnsi" w:hAnsiTheme="minorHAnsi"/>
          <w:b/>
          <w:sz w:val="22"/>
        </w:rPr>
        <w:t>Artist in Residence</w:t>
      </w:r>
      <w:r>
        <w:rPr>
          <w:rFonts w:asciiTheme="minorHAnsi" w:hAnsiTheme="minorHAnsi"/>
          <w:sz w:val="22"/>
        </w:rPr>
        <w:t xml:space="preserve"> – artists will have day rates or agree costs for installations &amp; events; ensure clear impact objectives are agreed</w:t>
      </w:r>
      <w:r w:rsidR="003C66AE">
        <w:rPr>
          <w:rFonts w:asciiTheme="minorHAnsi" w:hAnsiTheme="minorHAnsi"/>
          <w:sz w:val="22"/>
        </w:rPr>
        <w:t>;</w:t>
      </w:r>
      <w:bookmarkStart w:id="0" w:name="_GoBack"/>
      <w:bookmarkEnd w:id="0"/>
      <w:r>
        <w:rPr>
          <w:rFonts w:asciiTheme="minorHAnsi" w:hAnsiTheme="minorHAnsi"/>
          <w:sz w:val="22"/>
        </w:rPr>
        <w:t xml:space="preserve"> include publicity and venue costs</w:t>
      </w:r>
    </w:p>
    <w:p w:rsidR="00C059BA" w:rsidRDefault="00C059BA" w:rsidP="00C059BA">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Performance-based engagement </w:t>
      </w:r>
      <w:r>
        <w:rPr>
          <w:rFonts w:asciiTheme="minorHAnsi" w:hAnsiTheme="minorHAnsi"/>
          <w:sz w:val="22"/>
        </w:rPr>
        <w:t>– e.g. b</w:t>
      </w:r>
      <w:r w:rsidRPr="00E61C60">
        <w:rPr>
          <w:rFonts w:asciiTheme="minorHAnsi" w:hAnsiTheme="minorHAnsi"/>
          <w:sz w:val="22"/>
        </w:rPr>
        <w:t xml:space="preserve">ilingual </w:t>
      </w:r>
      <w:r>
        <w:rPr>
          <w:rFonts w:asciiTheme="minorHAnsi" w:hAnsiTheme="minorHAnsi"/>
          <w:sz w:val="22"/>
        </w:rPr>
        <w:t>t</w:t>
      </w:r>
      <w:r w:rsidRPr="00E61C60">
        <w:rPr>
          <w:rFonts w:asciiTheme="minorHAnsi" w:hAnsiTheme="minorHAnsi"/>
          <w:sz w:val="22"/>
        </w:rPr>
        <w:t xml:space="preserve">heatre </w:t>
      </w:r>
      <w:r>
        <w:rPr>
          <w:rFonts w:asciiTheme="minorHAnsi" w:hAnsiTheme="minorHAnsi"/>
          <w:sz w:val="22"/>
        </w:rPr>
        <w:t>w</w:t>
      </w:r>
      <w:r w:rsidRPr="00E61C60">
        <w:rPr>
          <w:rFonts w:asciiTheme="minorHAnsi" w:hAnsiTheme="minorHAnsi"/>
          <w:sz w:val="22"/>
        </w:rPr>
        <w:t>orkshops</w:t>
      </w:r>
      <w:r>
        <w:rPr>
          <w:rFonts w:asciiTheme="minorHAnsi" w:hAnsiTheme="minorHAnsi"/>
          <w:sz w:val="22"/>
        </w:rPr>
        <w:t xml:space="preserve"> to explore translation</w:t>
      </w:r>
      <w:r w:rsidR="004C7CCC">
        <w:rPr>
          <w:rFonts w:asciiTheme="minorHAnsi" w:hAnsiTheme="minorHAnsi"/>
          <w:sz w:val="22"/>
        </w:rPr>
        <w:t>, creative writing workshops, community arts practice; include costs of arts facilitators &amp; equipment</w:t>
      </w:r>
    </w:p>
    <w:p w:rsidR="00C97253" w:rsidRDefault="0065775A" w:rsidP="00C97253">
      <w:pPr>
        <w:pStyle w:val="ListParagraph"/>
        <w:numPr>
          <w:ilvl w:val="0"/>
          <w:numId w:val="6"/>
        </w:numPr>
        <w:spacing w:after="0"/>
        <w:ind w:left="360"/>
        <w:rPr>
          <w:rFonts w:asciiTheme="minorHAnsi" w:hAnsiTheme="minorHAnsi"/>
          <w:sz w:val="22"/>
        </w:rPr>
      </w:pPr>
      <w:r>
        <w:rPr>
          <w:rFonts w:asciiTheme="minorHAnsi" w:hAnsiTheme="minorHAnsi"/>
          <w:b/>
          <w:sz w:val="22"/>
        </w:rPr>
        <w:t xml:space="preserve">Engagement equipment </w:t>
      </w:r>
      <w:r>
        <w:rPr>
          <w:rFonts w:asciiTheme="minorHAnsi" w:hAnsiTheme="minorHAnsi"/>
          <w:sz w:val="22"/>
        </w:rPr>
        <w:t>– some larger projects request tablets, cameras</w:t>
      </w:r>
      <w:r w:rsidR="00C97253">
        <w:rPr>
          <w:rFonts w:asciiTheme="minorHAnsi" w:hAnsiTheme="minorHAnsi"/>
          <w:sz w:val="22"/>
        </w:rPr>
        <w:t xml:space="preserve">, exhibit models etc. </w:t>
      </w:r>
      <w:r>
        <w:rPr>
          <w:rFonts w:asciiTheme="minorHAnsi" w:hAnsiTheme="minorHAnsi"/>
          <w:sz w:val="22"/>
        </w:rPr>
        <w:t>for public and stakeholder engagement events; these should remain the property of UoB</w:t>
      </w:r>
    </w:p>
    <w:p w:rsidR="00E61C60" w:rsidRPr="0074183C" w:rsidRDefault="00C97253" w:rsidP="0074183C">
      <w:pPr>
        <w:pStyle w:val="ListParagraph"/>
        <w:numPr>
          <w:ilvl w:val="0"/>
          <w:numId w:val="6"/>
        </w:numPr>
        <w:spacing w:after="0"/>
        <w:ind w:left="360"/>
        <w:rPr>
          <w:rFonts w:asciiTheme="minorHAnsi" w:hAnsiTheme="minorHAnsi"/>
          <w:sz w:val="22"/>
        </w:rPr>
      </w:pPr>
      <w:r w:rsidRPr="00C97253">
        <w:rPr>
          <w:rFonts w:asciiTheme="minorHAnsi" w:hAnsiTheme="minorHAnsi"/>
          <w:b/>
          <w:sz w:val="22"/>
        </w:rPr>
        <w:t>Software &amp; Apps</w:t>
      </w:r>
      <w:r>
        <w:rPr>
          <w:rFonts w:asciiTheme="minorHAnsi" w:hAnsiTheme="minorHAnsi"/>
          <w:sz w:val="22"/>
        </w:rPr>
        <w:t xml:space="preserve"> – need to be developed or refined for public/professional users. Programming can cost from £5,000 - £15,000. RED or CPE can advise on whether an App is a good option</w:t>
      </w:r>
      <w:r w:rsidR="004C7CCC">
        <w:rPr>
          <w:rFonts w:asciiTheme="minorHAnsi" w:hAnsiTheme="minorHAnsi"/>
          <w:sz w:val="22"/>
        </w:rPr>
        <w:t xml:space="preserve"> and how it might create impact</w:t>
      </w:r>
      <w:r>
        <w:rPr>
          <w:rFonts w:asciiTheme="minorHAnsi" w:hAnsiTheme="minorHAnsi"/>
          <w:sz w:val="22"/>
        </w:rPr>
        <w:t>.</w:t>
      </w:r>
    </w:p>
    <w:p w:rsidR="006123D6" w:rsidRPr="0074183C" w:rsidRDefault="006123D6" w:rsidP="0074183C">
      <w:pPr>
        <w:pStyle w:val="ListParagraph"/>
        <w:numPr>
          <w:ilvl w:val="0"/>
          <w:numId w:val="6"/>
        </w:numPr>
        <w:spacing w:after="0"/>
        <w:ind w:left="360"/>
        <w:rPr>
          <w:rFonts w:asciiTheme="minorHAnsi" w:hAnsiTheme="minorHAnsi"/>
          <w:sz w:val="22"/>
        </w:rPr>
      </w:pPr>
      <w:r w:rsidRPr="00277B5D">
        <w:rPr>
          <w:rFonts w:asciiTheme="minorHAnsi" w:hAnsiTheme="minorHAnsi"/>
          <w:b/>
          <w:sz w:val="22"/>
        </w:rPr>
        <w:t>Travel costs</w:t>
      </w:r>
      <w:r>
        <w:rPr>
          <w:rFonts w:asciiTheme="minorHAnsi" w:hAnsiTheme="minorHAnsi"/>
          <w:sz w:val="22"/>
        </w:rPr>
        <w:t xml:space="preserve"> – talking to stakeholders can be free, but consider requesting funds to tra</w:t>
      </w:r>
      <w:r w:rsidR="00805D9F">
        <w:rPr>
          <w:rFonts w:asciiTheme="minorHAnsi" w:hAnsiTheme="minorHAnsi"/>
          <w:sz w:val="22"/>
        </w:rPr>
        <w:t>vel to their locations, attend their conferences or host</w:t>
      </w:r>
      <w:r>
        <w:rPr>
          <w:rFonts w:asciiTheme="minorHAnsi" w:hAnsiTheme="minorHAnsi"/>
          <w:sz w:val="22"/>
        </w:rPr>
        <w:t xml:space="preserve"> workshops (see below); day trip to London ~£150, an overnight </w:t>
      </w:r>
      <w:r w:rsidR="00805D9F">
        <w:rPr>
          <w:rFonts w:asciiTheme="minorHAnsi" w:hAnsiTheme="minorHAnsi"/>
          <w:sz w:val="22"/>
        </w:rPr>
        <w:t>stay</w:t>
      </w:r>
      <w:r>
        <w:rPr>
          <w:rFonts w:asciiTheme="minorHAnsi" w:hAnsiTheme="minorHAnsi"/>
          <w:sz w:val="22"/>
        </w:rPr>
        <w:t xml:space="preserve"> ~£150.</w:t>
      </w:r>
    </w:p>
    <w:p w:rsidR="007B559D" w:rsidRDefault="007B559D"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Stakeholder </w:t>
      </w:r>
      <w:r w:rsidR="00C53A2C" w:rsidRPr="00277B5D">
        <w:rPr>
          <w:rFonts w:asciiTheme="minorHAnsi" w:hAnsiTheme="minorHAnsi"/>
          <w:b/>
          <w:sz w:val="22"/>
        </w:rPr>
        <w:t>Conferences</w:t>
      </w:r>
      <w:r w:rsidRPr="00277B5D">
        <w:rPr>
          <w:rFonts w:asciiTheme="minorHAnsi" w:hAnsiTheme="minorHAnsi"/>
          <w:b/>
          <w:sz w:val="22"/>
        </w:rPr>
        <w:t xml:space="preserve"> </w:t>
      </w:r>
      <w:r>
        <w:rPr>
          <w:rFonts w:asciiTheme="minorHAnsi" w:hAnsiTheme="minorHAnsi"/>
          <w:sz w:val="22"/>
        </w:rPr>
        <w:t>– it can be useful to attend industry or practitioner events as well as academic conferences. Travel, subsistence, registration and possibly exhibit costs should be added in the usual way according to conference location</w:t>
      </w:r>
      <w:r w:rsidR="00B57D61">
        <w:rPr>
          <w:rFonts w:asciiTheme="minorHAnsi" w:hAnsiTheme="minorHAnsi"/>
          <w:sz w:val="22"/>
        </w:rPr>
        <w:t xml:space="preserve"> </w:t>
      </w:r>
      <w:proofErr w:type="spellStart"/>
      <w:r w:rsidR="00B57D61">
        <w:rPr>
          <w:rFonts w:asciiTheme="minorHAnsi" w:hAnsiTheme="minorHAnsi"/>
          <w:sz w:val="22"/>
        </w:rPr>
        <w:t>e.g</w:t>
      </w:r>
      <w:proofErr w:type="spellEnd"/>
      <w:r w:rsidR="00B57D61">
        <w:rPr>
          <w:rFonts w:asciiTheme="minorHAnsi" w:hAnsiTheme="minorHAnsi"/>
          <w:sz w:val="22"/>
        </w:rPr>
        <w:t xml:space="preserve"> UK £1,000, EU £1,500, USA £2,000.</w:t>
      </w:r>
    </w:p>
    <w:p w:rsidR="007B559D" w:rsidRDefault="007B559D"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Stakeholder </w:t>
      </w:r>
      <w:r w:rsidR="00C53A2C" w:rsidRPr="00277B5D">
        <w:rPr>
          <w:rFonts w:asciiTheme="minorHAnsi" w:hAnsiTheme="minorHAnsi"/>
          <w:b/>
          <w:sz w:val="22"/>
        </w:rPr>
        <w:t>Workshops</w:t>
      </w:r>
      <w:r>
        <w:rPr>
          <w:rFonts w:asciiTheme="minorHAnsi" w:hAnsiTheme="minorHAnsi"/>
          <w:sz w:val="22"/>
        </w:rPr>
        <w:t xml:space="preserve"> can be used before, during and after research to shape the research programme and data collection, review progress and discuss how the findings can be used</w:t>
      </w:r>
      <w:r w:rsidR="00B57D61">
        <w:rPr>
          <w:rFonts w:asciiTheme="minorHAnsi" w:hAnsiTheme="minorHAnsi"/>
          <w:sz w:val="22"/>
        </w:rPr>
        <w:t xml:space="preserve">; costs include travel, catering, room hire, and potentially </w:t>
      </w:r>
      <w:r w:rsidR="00C97253">
        <w:rPr>
          <w:rFonts w:asciiTheme="minorHAnsi" w:hAnsiTheme="minorHAnsi"/>
          <w:sz w:val="22"/>
        </w:rPr>
        <w:t xml:space="preserve">a professional facilitator or </w:t>
      </w:r>
      <w:r w:rsidR="00B57D61">
        <w:rPr>
          <w:rFonts w:asciiTheme="minorHAnsi" w:hAnsiTheme="minorHAnsi"/>
          <w:sz w:val="22"/>
        </w:rPr>
        <w:t>participants’ costs; e.g. £3,000 for a large event with international guest speakers</w:t>
      </w:r>
      <w:r w:rsidR="00C059BA">
        <w:rPr>
          <w:rFonts w:asciiTheme="minorHAnsi" w:hAnsiTheme="minorHAnsi"/>
          <w:sz w:val="22"/>
        </w:rPr>
        <w:t>, or £500 for a small buffet for 50 people in UoB rooms</w:t>
      </w:r>
      <w:r w:rsidR="009E4049">
        <w:rPr>
          <w:rFonts w:asciiTheme="minorHAnsi" w:hAnsiTheme="minorHAnsi"/>
          <w:sz w:val="22"/>
        </w:rPr>
        <w:t>.</w:t>
      </w:r>
    </w:p>
    <w:p w:rsidR="006123D6" w:rsidRPr="005E171B" w:rsidRDefault="006123D6" w:rsidP="005E171B">
      <w:pPr>
        <w:pStyle w:val="ListParagraph"/>
        <w:numPr>
          <w:ilvl w:val="0"/>
          <w:numId w:val="6"/>
        </w:numPr>
        <w:spacing w:after="0"/>
        <w:ind w:left="360"/>
        <w:rPr>
          <w:rFonts w:asciiTheme="minorHAnsi" w:hAnsiTheme="minorHAnsi"/>
          <w:sz w:val="22"/>
        </w:rPr>
      </w:pPr>
      <w:r w:rsidRPr="00277B5D">
        <w:rPr>
          <w:rFonts w:asciiTheme="minorHAnsi" w:hAnsiTheme="minorHAnsi"/>
          <w:b/>
          <w:sz w:val="22"/>
        </w:rPr>
        <w:t>Wider academic communities</w:t>
      </w:r>
      <w:r w:rsidRPr="006123D6">
        <w:rPr>
          <w:rFonts w:asciiTheme="minorHAnsi" w:hAnsiTheme="minorHAnsi"/>
          <w:sz w:val="22"/>
        </w:rPr>
        <w:t xml:space="preserve"> – </w:t>
      </w:r>
      <w:r>
        <w:rPr>
          <w:rFonts w:asciiTheme="minorHAnsi" w:hAnsiTheme="minorHAnsi"/>
          <w:sz w:val="22"/>
        </w:rPr>
        <w:t xml:space="preserve">consider whether your work might find its impact through other research disciplines, either by changing their practice of through their influence on stakeholders; include costs for travel, </w:t>
      </w:r>
      <w:r w:rsidR="0074183C">
        <w:rPr>
          <w:rFonts w:asciiTheme="minorHAnsi" w:hAnsiTheme="minorHAnsi"/>
          <w:sz w:val="22"/>
        </w:rPr>
        <w:t>seminars or workshops as above.</w:t>
      </w:r>
    </w:p>
    <w:p w:rsidR="007B559D" w:rsidRPr="0074183C" w:rsidRDefault="006123D6" w:rsidP="0074183C">
      <w:pPr>
        <w:pStyle w:val="ListParagraph"/>
        <w:numPr>
          <w:ilvl w:val="0"/>
          <w:numId w:val="6"/>
        </w:numPr>
        <w:spacing w:after="0"/>
        <w:ind w:left="360"/>
        <w:rPr>
          <w:rFonts w:asciiTheme="minorHAnsi" w:hAnsiTheme="minorHAnsi"/>
          <w:sz w:val="22"/>
        </w:rPr>
      </w:pPr>
      <w:r w:rsidRPr="00277B5D">
        <w:rPr>
          <w:rFonts w:asciiTheme="minorHAnsi" w:hAnsiTheme="minorHAnsi"/>
          <w:b/>
          <w:sz w:val="22"/>
        </w:rPr>
        <w:t>Advisory roles</w:t>
      </w:r>
      <w:r>
        <w:rPr>
          <w:rFonts w:asciiTheme="minorHAnsi" w:hAnsiTheme="minorHAnsi"/>
          <w:sz w:val="22"/>
        </w:rPr>
        <w:t xml:space="preserve"> on government committees, inquiries, charitable boards, NGOs and industry trade bodies can all be routes to impact; ensure any conflicts of interest are declared, and include travel costs if the stakeholder cannot reimburse.</w:t>
      </w:r>
    </w:p>
    <w:p w:rsidR="00C53A2C" w:rsidRPr="00E61C60" w:rsidRDefault="00C53A2C"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Catering</w:t>
      </w:r>
      <w:r w:rsidR="006123D6">
        <w:rPr>
          <w:rFonts w:asciiTheme="minorHAnsi" w:hAnsiTheme="minorHAnsi"/>
          <w:sz w:val="22"/>
        </w:rPr>
        <w:t xml:space="preserve"> – don’t forget catering costs for any events or stakeholder visits you organise at UoB or elsewhere; Hawthorns costs are online</w:t>
      </w:r>
    </w:p>
    <w:p w:rsidR="005E171B" w:rsidRPr="005E171B" w:rsidRDefault="005E171B" w:rsidP="005E171B">
      <w:pPr>
        <w:pStyle w:val="ListParagraph"/>
        <w:numPr>
          <w:ilvl w:val="0"/>
          <w:numId w:val="6"/>
        </w:numPr>
        <w:spacing w:after="0"/>
        <w:ind w:left="360"/>
        <w:rPr>
          <w:rFonts w:asciiTheme="minorHAnsi" w:hAnsiTheme="minorHAnsi"/>
          <w:sz w:val="22"/>
        </w:rPr>
      </w:pPr>
      <w:r w:rsidRPr="00277B5D">
        <w:rPr>
          <w:rFonts w:asciiTheme="minorHAnsi" w:hAnsiTheme="minorHAnsi"/>
          <w:b/>
          <w:sz w:val="22"/>
        </w:rPr>
        <w:t>Training for researchers</w:t>
      </w:r>
      <w:r>
        <w:rPr>
          <w:rFonts w:asciiTheme="minorHAnsi" w:hAnsiTheme="minorHAnsi"/>
          <w:sz w:val="22"/>
        </w:rPr>
        <w:t xml:space="preserve"> – available in public and schools engagement, social media, working with industry etc. @ ~£500/full day; RED &amp; CPE can sometimes offer free training</w:t>
      </w:r>
    </w:p>
    <w:p w:rsidR="005E171B" w:rsidRPr="0074183C" w:rsidRDefault="005E171B" w:rsidP="0074183C">
      <w:pPr>
        <w:pStyle w:val="ListParagraph"/>
        <w:numPr>
          <w:ilvl w:val="0"/>
          <w:numId w:val="6"/>
        </w:numPr>
        <w:spacing w:after="0"/>
        <w:ind w:left="360"/>
        <w:rPr>
          <w:rFonts w:asciiTheme="minorHAnsi" w:hAnsiTheme="minorHAnsi"/>
          <w:sz w:val="22"/>
        </w:rPr>
      </w:pPr>
      <w:r w:rsidRPr="00277B5D">
        <w:rPr>
          <w:rFonts w:asciiTheme="minorHAnsi" w:hAnsiTheme="minorHAnsi"/>
          <w:b/>
          <w:sz w:val="22"/>
        </w:rPr>
        <w:lastRenderedPageBreak/>
        <w:t xml:space="preserve">Training </w:t>
      </w:r>
      <w:r w:rsidR="0065775A">
        <w:rPr>
          <w:rFonts w:asciiTheme="minorHAnsi" w:hAnsiTheme="minorHAnsi"/>
          <w:b/>
          <w:sz w:val="22"/>
        </w:rPr>
        <w:t>stakeholders</w:t>
      </w:r>
      <w:r>
        <w:rPr>
          <w:rFonts w:asciiTheme="minorHAnsi" w:hAnsiTheme="minorHAnsi"/>
          <w:sz w:val="22"/>
        </w:rPr>
        <w:t xml:space="preserve"> – consider the technical &amp; transferable skills which researchers take into industry, or whether you can offer research-based training events</w:t>
      </w:r>
      <w:r w:rsidR="001E083F">
        <w:rPr>
          <w:rFonts w:asciiTheme="minorHAnsi" w:hAnsiTheme="minorHAnsi"/>
          <w:sz w:val="22"/>
        </w:rPr>
        <w:t xml:space="preserve"> or summer schools </w:t>
      </w:r>
      <w:r>
        <w:rPr>
          <w:rFonts w:asciiTheme="minorHAnsi" w:hAnsiTheme="minorHAnsi"/>
          <w:sz w:val="22"/>
        </w:rPr>
        <w:t xml:space="preserve"> for stakeholders (costs vary)</w:t>
      </w:r>
    </w:p>
    <w:p w:rsidR="00962B40" w:rsidRPr="0074183C" w:rsidRDefault="00962B40" w:rsidP="0074183C">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Staff secondments </w:t>
      </w:r>
      <w:r>
        <w:rPr>
          <w:rFonts w:asciiTheme="minorHAnsi" w:hAnsiTheme="minorHAnsi"/>
          <w:sz w:val="22"/>
        </w:rPr>
        <w:t xml:space="preserve">– sometimes it is clear that research will be useful for particular partners; a secondment for a few weeks is an ideal way to exchange knowledge, costs include salary (often </w:t>
      </w:r>
      <w:r w:rsidR="00AB4DCF">
        <w:rPr>
          <w:rFonts w:asciiTheme="minorHAnsi" w:hAnsiTheme="minorHAnsi"/>
          <w:sz w:val="22"/>
        </w:rPr>
        <w:t>a</w:t>
      </w:r>
      <w:r>
        <w:rPr>
          <w:rFonts w:asciiTheme="minorHAnsi" w:hAnsiTheme="minorHAnsi"/>
          <w:sz w:val="22"/>
        </w:rPr>
        <w:t xml:space="preserve"> PDRA), travel and accommodation.</w:t>
      </w:r>
    </w:p>
    <w:p w:rsidR="00962B40" w:rsidRPr="0074183C" w:rsidRDefault="00962B40" w:rsidP="0074183C">
      <w:pPr>
        <w:pStyle w:val="ListParagraph"/>
        <w:numPr>
          <w:ilvl w:val="0"/>
          <w:numId w:val="6"/>
        </w:numPr>
        <w:spacing w:after="0"/>
        <w:ind w:left="360"/>
        <w:rPr>
          <w:rFonts w:asciiTheme="minorHAnsi" w:hAnsiTheme="minorHAnsi"/>
          <w:sz w:val="22"/>
        </w:rPr>
      </w:pPr>
      <w:r w:rsidRPr="00277B5D">
        <w:rPr>
          <w:rFonts w:asciiTheme="minorHAnsi" w:hAnsiTheme="minorHAnsi"/>
          <w:b/>
          <w:sz w:val="22"/>
        </w:rPr>
        <w:t>Prototyping and testing</w:t>
      </w:r>
      <w:r>
        <w:rPr>
          <w:rFonts w:asciiTheme="minorHAnsi" w:hAnsiTheme="minorHAnsi"/>
          <w:sz w:val="22"/>
        </w:rPr>
        <w:t xml:space="preserve"> of new devices, instruments or </w:t>
      </w:r>
      <w:r w:rsidR="00277B5D">
        <w:rPr>
          <w:rFonts w:asciiTheme="minorHAnsi" w:hAnsiTheme="minorHAnsi"/>
          <w:sz w:val="22"/>
        </w:rPr>
        <w:t>methods</w:t>
      </w:r>
      <w:r>
        <w:rPr>
          <w:rFonts w:asciiTheme="minorHAnsi" w:hAnsiTheme="minorHAnsi"/>
          <w:sz w:val="22"/>
        </w:rPr>
        <w:t xml:space="preserve"> is an ideal route to impact but can be difficult to anticipate at this stage; stakeholders might be expected to contribute; discuss costs with stakeholders if there’s clear opportunity</w:t>
      </w:r>
      <w:r w:rsidR="00277B5D">
        <w:rPr>
          <w:rFonts w:asciiTheme="minorHAnsi" w:hAnsiTheme="minorHAnsi"/>
          <w:sz w:val="22"/>
        </w:rPr>
        <w:t>; RED can advise on commercialisation</w:t>
      </w:r>
    </w:p>
    <w:p w:rsidR="00C53A2C" w:rsidRPr="00E61C60" w:rsidRDefault="00C53A2C"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Breakfast Briefings</w:t>
      </w:r>
      <w:r w:rsidR="00C059BA">
        <w:rPr>
          <w:rFonts w:asciiTheme="minorHAnsi" w:hAnsiTheme="minorHAnsi"/>
          <w:sz w:val="22"/>
        </w:rPr>
        <w:t xml:space="preserve"> – for p</w:t>
      </w:r>
      <w:r w:rsidRPr="00E61C60">
        <w:rPr>
          <w:rFonts w:asciiTheme="minorHAnsi" w:hAnsiTheme="minorHAnsi"/>
          <w:sz w:val="22"/>
        </w:rPr>
        <w:t>olicy makers</w:t>
      </w:r>
      <w:r w:rsidR="00C059BA">
        <w:rPr>
          <w:rFonts w:asciiTheme="minorHAnsi" w:hAnsiTheme="minorHAnsi"/>
          <w:sz w:val="22"/>
        </w:rPr>
        <w:t xml:space="preserve"> and</w:t>
      </w:r>
      <w:r w:rsidRPr="00E61C60">
        <w:rPr>
          <w:rFonts w:asciiTheme="minorHAnsi" w:hAnsiTheme="minorHAnsi"/>
          <w:sz w:val="22"/>
        </w:rPr>
        <w:t xml:space="preserve"> stakeholders</w:t>
      </w:r>
      <w:r w:rsidR="00C059BA">
        <w:rPr>
          <w:rFonts w:asciiTheme="minorHAnsi" w:hAnsiTheme="minorHAnsi"/>
          <w:sz w:val="22"/>
        </w:rPr>
        <w:t xml:space="preserve">, </w:t>
      </w:r>
      <w:r w:rsidRPr="00E61C60">
        <w:rPr>
          <w:rFonts w:asciiTheme="minorHAnsi" w:hAnsiTheme="minorHAnsi"/>
          <w:sz w:val="22"/>
        </w:rPr>
        <w:t>cost of venue and breakfast</w:t>
      </w:r>
      <w:r w:rsidR="00341602">
        <w:rPr>
          <w:rFonts w:asciiTheme="minorHAnsi" w:hAnsiTheme="minorHAnsi"/>
          <w:sz w:val="22"/>
        </w:rPr>
        <w:t xml:space="preserve"> ~£1,500</w:t>
      </w:r>
    </w:p>
    <w:p w:rsidR="00C53A2C" w:rsidRPr="007819D0" w:rsidRDefault="00C059BA" w:rsidP="0074183C">
      <w:pPr>
        <w:pStyle w:val="ListParagraph"/>
        <w:numPr>
          <w:ilvl w:val="0"/>
          <w:numId w:val="6"/>
        </w:numPr>
        <w:spacing w:after="0"/>
        <w:ind w:left="360"/>
        <w:rPr>
          <w:rFonts w:asciiTheme="minorHAnsi" w:hAnsiTheme="minorHAnsi"/>
          <w:i/>
          <w:sz w:val="22"/>
        </w:rPr>
      </w:pPr>
      <w:r w:rsidRPr="00277B5D">
        <w:rPr>
          <w:rFonts w:asciiTheme="minorHAnsi" w:hAnsiTheme="minorHAnsi"/>
          <w:b/>
          <w:sz w:val="22"/>
        </w:rPr>
        <w:t xml:space="preserve">Policy Briefings </w:t>
      </w:r>
      <w:r>
        <w:rPr>
          <w:rFonts w:asciiTheme="minorHAnsi" w:hAnsiTheme="minorHAnsi"/>
          <w:sz w:val="22"/>
        </w:rPr>
        <w:t>– p</w:t>
      </w:r>
      <w:r w:rsidR="00C53A2C" w:rsidRPr="00E61C60">
        <w:rPr>
          <w:rFonts w:asciiTheme="minorHAnsi" w:hAnsiTheme="minorHAnsi"/>
          <w:sz w:val="22"/>
        </w:rPr>
        <w:t xml:space="preserve">roduction of </w:t>
      </w:r>
      <w:r>
        <w:rPr>
          <w:rFonts w:asciiTheme="minorHAnsi" w:hAnsiTheme="minorHAnsi"/>
          <w:sz w:val="22"/>
        </w:rPr>
        <w:t xml:space="preserve">high </w:t>
      </w:r>
      <w:r w:rsidR="00C53A2C" w:rsidRPr="00E61C60">
        <w:rPr>
          <w:rFonts w:asciiTheme="minorHAnsi" w:hAnsiTheme="minorHAnsi"/>
          <w:sz w:val="22"/>
        </w:rPr>
        <w:t xml:space="preserve">quality </w:t>
      </w:r>
      <w:r>
        <w:rPr>
          <w:rFonts w:asciiTheme="minorHAnsi" w:hAnsiTheme="minorHAnsi"/>
          <w:sz w:val="22"/>
        </w:rPr>
        <w:t>brief</w:t>
      </w:r>
      <w:r w:rsidR="0086734A">
        <w:rPr>
          <w:rFonts w:asciiTheme="minorHAnsi" w:hAnsiTheme="minorHAnsi"/>
          <w:sz w:val="22"/>
        </w:rPr>
        <w:t>ing</w:t>
      </w:r>
      <w:r>
        <w:rPr>
          <w:rFonts w:asciiTheme="minorHAnsi" w:hAnsiTheme="minorHAnsi"/>
          <w:sz w:val="22"/>
        </w:rPr>
        <w:t xml:space="preserve"> document or </w:t>
      </w:r>
      <w:r w:rsidR="00C53A2C" w:rsidRPr="00E61C60">
        <w:rPr>
          <w:rFonts w:asciiTheme="minorHAnsi" w:hAnsiTheme="minorHAnsi"/>
          <w:sz w:val="22"/>
        </w:rPr>
        <w:t>booklet</w:t>
      </w:r>
      <w:r>
        <w:rPr>
          <w:rFonts w:asciiTheme="minorHAnsi" w:hAnsiTheme="minorHAnsi"/>
          <w:sz w:val="22"/>
        </w:rPr>
        <w:t xml:space="preserve">; </w:t>
      </w:r>
      <w:r w:rsidRPr="00C80807">
        <w:rPr>
          <w:rFonts w:asciiTheme="minorHAnsi" w:hAnsiTheme="minorHAnsi"/>
          <w:b/>
          <w:i/>
          <w:sz w:val="22"/>
        </w:rPr>
        <w:t xml:space="preserve">Policy Bristol </w:t>
      </w:r>
      <w:r w:rsidRPr="00C80807">
        <w:rPr>
          <w:rFonts w:asciiTheme="minorHAnsi" w:hAnsiTheme="minorHAnsi"/>
          <w:i/>
          <w:sz w:val="22"/>
        </w:rPr>
        <w:t>offer</w:t>
      </w:r>
      <w:r w:rsidRPr="007819D0">
        <w:rPr>
          <w:rFonts w:asciiTheme="minorHAnsi" w:hAnsiTheme="minorHAnsi"/>
          <w:i/>
          <w:sz w:val="22"/>
        </w:rPr>
        <w:t xml:space="preserve"> </w:t>
      </w:r>
      <w:r w:rsidR="00341602" w:rsidRPr="007819D0">
        <w:rPr>
          <w:rFonts w:asciiTheme="minorHAnsi" w:hAnsiTheme="minorHAnsi"/>
          <w:i/>
          <w:sz w:val="22"/>
        </w:rPr>
        <w:t xml:space="preserve">advice and training on </w:t>
      </w:r>
      <w:r w:rsidRPr="007819D0">
        <w:rPr>
          <w:rFonts w:asciiTheme="minorHAnsi" w:hAnsiTheme="minorHAnsi"/>
          <w:i/>
          <w:sz w:val="22"/>
        </w:rPr>
        <w:t xml:space="preserve">social science </w:t>
      </w:r>
      <w:r w:rsidR="00341602" w:rsidRPr="007819D0">
        <w:rPr>
          <w:rFonts w:asciiTheme="minorHAnsi" w:hAnsiTheme="minorHAnsi"/>
          <w:i/>
          <w:sz w:val="22"/>
        </w:rPr>
        <w:t>engagement with policy, for</w:t>
      </w:r>
      <w:r w:rsidRPr="007819D0">
        <w:rPr>
          <w:rFonts w:asciiTheme="minorHAnsi" w:hAnsiTheme="minorHAnsi"/>
          <w:i/>
          <w:sz w:val="22"/>
        </w:rPr>
        <w:t xml:space="preserve"> all Faculties</w:t>
      </w:r>
    </w:p>
    <w:p w:rsidR="008F6944" w:rsidRPr="0074183C" w:rsidRDefault="00C059BA" w:rsidP="0074183C">
      <w:pPr>
        <w:pStyle w:val="ListParagraph"/>
        <w:numPr>
          <w:ilvl w:val="0"/>
          <w:numId w:val="6"/>
        </w:numPr>
        <w:spacing w:after="0"/>
        <w:ind w:left="360"/>
        <w:rPr>
          <w:rFonts w:asciiTheme="minorHAnsi" w:hAnsiTheme="minorHAnsi"/>
          <w:sz w:val="22"/>
        </w:rPr>
      </w:pPr>
      <w:r w:rsidRPr="00AB4DCF">
        <w:rPr>
          <w:rFonts w:asciiTheme="minorHAnsi" w:hAnsiTheme="minorHAnsi"/>
          <w:b/>
          <w:sz w:val="22"/>
        </w:rPr>
        <w:t xml:space="preserve">Software and </w:t>
      </w:r>
      <w:r w:rsidR="00AB4DCF">
        <w:rPr>
          <w:rFonts w:asciiTheme="minorHAnsi" w:hAnsiTheme="minorHAnsi"/>
          <w:b/>
          <w:sz w:val="22"/>
        </w:rPr>
        <w:t xml:space="preserve">technical </w:t>
      </w:r>
      <w:r w:rsidRPr="00AB4DCF">
        <w:rPr>
          <w:rFonts w:asciiTheme="minorHAnsi" w:hAnsiTheme="minorHAnsi"/>
          <w:b/>
          <w:sz w:val="22"/>
        </w:rPr>
        <w:t>documentation</w:t>
      </w:r>
      <w:r w:rsidRPr="00AB4DCF">
        <w:rPr>
          <w:rFonts w:asciiTheme="minorHAnsi" w:hAnsiTheme="minorHAnsi"/>
          <w:sz w:val="22"/>
        </w:rPr>
        <w:t xml:space="preserve"> can be produced for stakeholder audiences or particular </w:t>
      </w:r>
      <w:r w:rsidR="00AB4DCF">
        <w:rPr>
          <w:rFonts w:asciiTheme="minorHAnsi" w:hAnsiTheme="minorHAnsi"/>
          <w:sz w:val="22"/>
        </w:rPr>
        <w:t>methods</w:t>
      </w:r>
      <w:r w:rsidRPr="00AB4DCF">
        <w:rPr>
          <w:rFonts w:asciiTheme="minorHAnsi" w:hAnsiTheme="minorHAnsi"/>
          <w:sz w:val="22"/>
        </w:rPr>
        <w:t xml:space="preserve"> or instruments; copyright applies and licensing may be possible (talk to RED); inc</w:t>
      </w:r>
      <w:r>
        <w:rPr>
          <w:rFonts w:asciiTheme="minorHAnsi" w:hAnsiTheme="minorHAnsi"/>
          <w:sz w:val="22"/>
        </w:rPr>
        <w:t>lude costs and time for writing, testing, design and distribution</w:t>
      </w:r>
    </w:p>
    <w:p w:rsidR="009E4049" w:rsidRDefault="009E4049" w:rsidP="00E61C60">
      <w:pPr>
        <w:pStyle w:val="ListParagraph"/>
        <w:numPr>
          <w:ilvl w:val="0"/>
          <w:numId w:val="6"/>
        </w:numPr>
        <w:spacing w:after="0"/>
        <w:ind w:left="360"/>
        <w:rPr>
          <w:rFonts w:asciiTheme="minorHAnsi" w:hAnsiTheme="minorHAnsi"/>
          <w:sz w:val="22"/>
        </w:rPr>
      </w:pPr>
      <w:r w:rsidRPr="00277B5D">
        <w:rPr>
          <w:rFonts w:asciiTheme="minorHAnsi" w:hAnsiTheme="minorHAnsi"/>
          <w:b/>
          <w:sz w:val="22"/>
        </w:rPr>
        <w:t>Intermediary organisations</w:t>
      </w:r>
      <w:r>
        <w:rPr>
          <w:rFonts w:asciiTheme="minorHAnsi" w:hAnsiTheme="minorHAnsi"/>
          <w:sz w:val="22"/>
        </w:rPr>
        <w:t xml:space="preserve"> are often good routes to impact e.g. trade organisations, sector groups, think tanks, NGOs working abroad, regulatory bodies, professional societies; consider costs of travel and attending their events, include them in stakeholder workshops</w:t>
      </w:r>
    </w:p>
    <w:p w:rsidR="001E083F" w:rsidRDefault="001E083F" w:rsidP="00E61C60">
      <w:pPr>
        <w:pStyle w:val="ListParagraph"/>
        <w:numPr>
          <w:ilvl w:val="0"/>
          <w:numId w:val="6"/>
        </w:numPr>
        <w:spacing w:after="0"/>
        <w:ind w:left="360"/>
        <w:rPr>
          <w:rFonts w:asciiTheme="minorHAnsi" w:hAnsiTheme="minorHAnsi"/>
          <w:sz w:val="22"/>
        </w:rPr>
      </w:pPr>
      <w:r w:rsidRPr="001E083F">
        <w:rPr>
          <w:rFonts w:asciiTheme="minorHAnsi" w:hAnsiTheme="minorHAnsi"/>
          <w:b/>
          <w:sz w:val="22"/>
        </w:rPr>
        <w:t>Co-production</w:t>
      </w:r>
      <w:r>
        <w:rPr>
          <w:rFonts w:asciiTheme="minorHAnsi" w:hAnsiTheme="minorHAnsi"/>
          <w:sz w:val="22"/>
        </w:rPr>
        <w:t xml:space="preserve"> and action research methods can allow impact to develop in parallel with the research; consider any additional costs need to achieve both your research goals and impact objectives; academic colleagues and RED can advise on co-production costs and methods</w:t>
      </w:r>
    </w:p>
    <w:p w:rsidR="009E4049" w:rsidRPr="009E4049" w:rsidRDefault="009E4049" w:rsidP="009E4049">
      <w:pPr>
        <w:pStyle w:val="ListParagraph"/>
        <w:rPr>
          <w:rFonts w:asciiTheme="minorHAnsi" w:hAnsiTheme="minorHAnsi"/>
          <w:sz w:val="22"/>
        </w:rPr>
      </w:pPr>
    </w:p>
    <w:p w:rsidR="005E171B" w:rsidRPr="00B47124" w:rsidRDefault="005E171B" w:rsidP="00C53A2C">
      <w:pPr>
        <w:spacing w:after="0" w:line="240" w:lineRule="auto"/>
        <w:rPr>
          <w:b/>
          <w:color w:val="2E74B5" w:themeColor="accent1" w:themeShade="BF"/>
          <w:sz w:val="24"/>
        </w:rPr>
      </w:pPr>
      <w:r w:rsidRPr="00B47124">
        <w:rPr>
          <w:b/>
          <w:color w:val="2E74B5" w:themeColor="accent1" w:themeShade="BF"/>
          <w:sz w:val="24"/>
        </w:rPr>
        <w:t>Cost free activities:</w:t>
      </w:r>
    </w:p>
    <w:p w:rsidR="00B53281" w:rsidRPr="00B53281" w:rsidRDefault="00B53281" w:rsidP="005E171B">
      <w:pPr>
        <w:pStyle w:val="ListParagraph"/>
        <w:numPr>
          <w:ilvl w:val="0"/>
          <w:numId w:val="6"/>
        </w:numPr>
        <w:spacing w:after="0"/>
        <w:ind w:left="360"/>
        <w:rPr>
          <w:rFonts w:asciiTheme="minorHAnsi" w:hAnsiTheme="minorHAnsi"/>
          <w:sz w:val="22"/>
        </w:rPr>
      </w:pPr>
      <w:r w:rsidRPr="00B53281">
        <w:rPr>
          <w:rFonts w:asciiTheme="minorHAnsi" w:hAnsiTheme="minorHAnsi"/>
          <w:b/>
          <w:sz w:val="22"/>
        </w:rPr>
        <w:t>Web &amp; PR</w:t>
      </w:r>
      <w:r>
        <w:rPr>
          <w:rFonts w:asciiTheme="minorHAnsi" w:hAnsiTheme="minorHAnsi"/>
          <w:sz w:val="22"/>
        </w:rPr>
        <w:t xml:space="preserve"> – </w:t>
      </w:r>
      <w:r w:rsidR="007819D0">
        <w:rPr>
          <w:rFonts w:asciiTheme="minorHAnsi" w:hAnsiTheme="minorHAnsi"/>
          <w:sz w:val="22"/>
        </w:rPr>
        <w:t xml:space="preserve">University-based </w:t>
      </w:r>
      <w:r>
        <w:rPr>
          <w:rFonts w:asciiTheme="minorHAnsi" w:hAnsiTheme="minorHAnsi"/>
          <w:sz w:val="22"/>
        </w:rPr>
        <w:t>web pages and press releases are tested ways to raise visibility, though are unlikely to create impact on their own</w:t>
      </w:r>
      <w:r w:rsidR="00C80807">
        <w:rPr>
          <w:rFonts w:asciiTheme="minorHAnsi" w:hAnsiTheme="minorHAnsi"/>
          <w:sz w:val="22"/>
        </w:rPr>
        <w:t>. External web-sites can be costly to maintain and are likely to become dormant after project funding ends; they also have less visibility that pages based on University servers.</w:t>
      </w:r>
    </w:p>
    <w:p w:rsidR="005E171B" w:rsidRDefault="005E171B" w:rsidP="005E171B">
      <w:pPr>
        <w:pStyle w:val="ListParagraph"/>
        <w:numPr>
          <w:ilvl w:val="0"/>
          <w:numId w:val="6"/>
        </w:numPr>
        <w:spacing w:after="0"/>
        <w:ind w:left="360"/>
        <w:rPr>
          <w:rFonts w:asciiTheme="minorHAnsi" w:hAnsiTheme="minorHAnsi"/>
          <w:sz w:val="22"/>
        </w:rPr>
      </w:pPr>
      <w:r w:rsidRPr="00277B5D">
        <w:rPr>
          <w:rFonts w:asciiTheme="minorHAnsi" w:hAnsiTheme="minorHAnsi"/>
          <w:b/>
          <w:sz w:val="22"/>
        </w:rPr>
        <w:t>Media and Social Media</w:t>
      </w:r>
      <w:r>
        <w:rPr>
          <w:rFonts w:asciiTheme="minorHAnsi" w:hAnsiTheme="minorHAnsi"/>
          <w:sz w:val="22"/>
        </w:rPr>
        <w:t xml:space="preserve"> – can be excellent vehicles to disseminate research to non-academic audiences, but impact can be hard to evaluate. Online social media tools require only time</w:t>
      </w:r>
    </w:p>
    <w:p w:rsidR="00B57D61" w:rsidRDefault="00B57D61" w:rsidP="00B57D61">
      <w:pPr>
        <w:pStyle w:val="ListParagraph"/>
        <w:numPr>
          <w:ilvl w:val="0"/>
          <w:numId w:val="6"/>
        </w:numPr>
        <w:spacing w:after="0"/>
        <w:ind w:left="360"/>
        <w:rPr>
          <w:rFonts w:asciiTheme="minorHAnsi" w:hAnsiTheme="minorHAnsi"/>
          <w:sz w:val="22"/>
        </w:rPr>
      </w:pPr>
      <w:r w:rsidRPr="00277B5D">
        <w:rPr>
          <w:rFonts w:asciiTheme="minorHAnsi" w:hAnsiTheme="minorHAnsi"/>
          <w:b/>
          <w:sz w:val="22"/>
        </w:rPr>
        <w:t>Stakeholders’ PR</w:t>
      </w:r>
      <w:r>
        <w:rPr>
          <w:rFonts w:asciiTheme="minorHAnsi" w:hAnsiTheme="minorHAnsi"/>
          <w:sz w:val="22"/>
        </w:rPr>
        <w:t xml:space="preserve"> – project partners can also provide good media coverage and public engagement opportunities</w:t>
      </w:r>
    </w:p>
    <w:p w:rsidR="005E171B" w:rsidRDefault="005E171B" w:rsidP="00B57D61">
      <w:pPr>
        <w:pStyle w:val="ListParagraph"/>
        <w:numPr>
          <w:ilvl w:val="0"/>
          <w:numId w:val="6"/>
        </w:numPr>
        <w:spacing w:after="0"/>
        <w:ind w:left="360"/>
        <w:rPr>
          <w:rFonts w:asciiTheme="minorHAnsi" w:hAnsiTheme="minorHAnsi"/>
          <w:sz w:val="22"/>
        </w:rPr>
      </w:pPr>
      <w:r w:rsidRPr="00277B5D">
        <w:rPr>
          <w:rFonts w:asciiTheme="minorHAnsi" w:hAnsiTheme="minorHAnsi"/>
          <w:b/>
          <w:sz w:val="22"/>
        </w:rPr>
        <w:t xml:space="preserve">Open data </w:t>
      </w:r>
      <w:r w:rsidRPr="00B57D61">
        <w:rPr>
          <w:rFonts w:asciiTheme="minorHAnsi" w:hAnsiTheme="minorHAnsi"/>
          <w:sz w:val="22"/>
        </w:rPr>
        <w:t>– depositing data sets and findings in public databases enables others to use them and widens the possible routes to impact via other academics</w:t>
      </w:r>
    </w:p>
    <w:p w:rsidR="005E171B" w:rsidRDefault="00C95666" w:rsidP="00C473FE">
      <w:pPr>
        <w:pStyle w:val="ListParagraph"/>
        <w:numPr>
          <w:ilvl w:val="0"/>
          <w:numId w:val="6"/>
        </w:numPr>
        <w:spacing w:after="0"/>
        <w:ind w:left="360"/>
        <w:rPr>
          <w:rFonts w:asciiTheme="minorHAnsi" w:hAnsiTheme="minorHAnsi"/>
          <w:sz w:val="22"/>
        </w:rPr>
      </w:pPr>
      <w:r>
        <w:rPr>
          <w:rFonts w:asciiTheme="minorHAnsi" w:hAnsiTheme="minorHAnsi"/>
          <w:b/>
          <w:sz w:val="22"/>
        </w:rPr>
        <w:t xml:space="preserve">Intellectual Property Protection and </w:t>
      </w:r>
      <w:r w:rsidR="00C059BA" w:rsidRPr="00277B5D">
        <w:rPr>
          <w:rFonts w:asciiTheme="minorHAnsi" w:hAnsiTheme="minorHAnsi"/>
          <w:b/>
          <w:sz w:val="22"/>
        </w:rPr>
        <w:t xml:space="preserve">Commercialisation </w:t>
      </w:r>
      <w:r w:rsidR="00C059BA" w:rsidRPr="00C059BA">
        <w:rPr>
          <w:rFonts w:asciiTheme="minorHAnsi" w:hAnsiTheme="minorHAnsi"/>
          <w:sz w:val="22"/>
        </w:rPr>
        <w:t xml:space="preserve">– can be discussed with RED at any time; additional grants are available for </w:t>
      </w:r>
      <w:r>
        <w:rPr>
          <w:rFonts w:asciiTheme="minorHAnsi" w:hAnsiTheme="minorHAnsi"/>
          <w:sz w:val="22"/>
        </w:rPr>
        <w:t>work</w:t>
      </w:r>
      <w:r w:rsidR="00C059BA" w:rsidRPr="00C059BA">
        <w:rPr>
          <w:rFonts w:asciiTheme="minorHAnsi" w:hAnsiTheme="minorHAnsi"/>
          <w:sz w:val="22"/>
        </w:rPr>
        <w:t xml:space="preserve"> with market opportunities</w:t>
      </w:r>
      <w:r w:rsidR="00C059BA">
        <w:rPr>
          <w:rFonts w:asciiTheme="minorHAnsi" w:hAnsiTheme="minorHAnsi"/>
          <w:sz w:val="22"/>
        </w:rPr>
        <w:t xml:space="preserve">, for new companies or for </w:t>
      </w:r>
      <w:r>
        <w:rPr>
          <w:rFonts w:asciiTheme="minorHAnsi" w:hAnsiTheme="minorHAnsi"/>
          <w:sz w:val="22"/>
        </w:rPr>
        <w:t>R&amp;D</w:t>
      </w:r>
      <w:r w:rsidR="00C059BA">
        <w:rPr>
          <w:rFonts w:asciiTheme="minorHAnsi" w:hAnsiTheme="minorHAnsi"/>
          <w:sz w:val="22"/>
        </w:rPr>
        <w:t xml:space="preserve"> with business</w:t>
      </w:r>
      <w:r>
        <w:rPr>
          <w:rFonts w:asciiTheme="minorHAnsi" w:hAnsiTheme="minorHAnsi"/>
          <w:sz w:val="22"/>
        </w:rPr>
        <w:t xml:space="preserve"> partners</w:t>
      </w:r>
      <w:r w:rsidR="00C059BA">
        <w:rPr>
          <w:rFonts w:asciiTheme="minorHAnsi" w:hAnsiTheme="minorHAnsi"/>
          <w:sz w:val="22"/>
        </w:rPr>
        <w:t>.</w:t>
      </w:r>
      <w:r w:rsidR="00277B5D">
        <w:rPr>
          <w:rFonts w:asciiTheme="minorHAnsi" w:hAnsiTheme="minorHAnsi"/>
          <w:sz w:val="22"/>
        </w:rPr>
        <w:t xml:space="preserve"> Prototype or testing costs </w:t>
      </w:r>
      <w:r>
        <w:rPr>
          <w:rFonts w:asciiTheme="minorHAnsi" w:hAnsiTheme="minorHAnsi"/>
          <w:sz w:val="22"/>
        </w:rPr>
        <w:t>can</w:t>
      </w:r>
      <w:r w:rsidR="00277B5D">
        <w:rPr>
          <w:rFonts w:asciiTheme="minorHAnsi" w:hAnsiTheme="minorHAnsi"/>
          <w:sz w:val="22"/>
        </w:rPr>
        <w:t xml:space="preserve"> be included </w:t>
      </w:r>
      <w:r>
        <w:rPr>
          <w:rFonts w:asciiTheme="minorHAnsi" w:hAnsiTheme="minorHAnsi"/>
          <w:sz w:val="22"/>
        </w:rPr>
        <w:t xml:space="preserve">now </w:t>
      </w:r>
      <w:r w:rsidR="00277B5D">
        <w:rPr>
          <w:rFonts w:asciiTheme="minorHAnsi" w:hAnsiTheme="minorHAnsi"/>
          <w:sz w:val="22"/>
        </w:rPr>
        <w:t>if obvious</w:t>
      </w:r>
    </w:p>
    <w:p w:rsidR="009E4049" w:rsidRPr="00C059BA" w:rsidRDefault="009E4049" w:rsidP="00C473FE">
      <w:pPr>
        <w:pStyle w:val="ListParagraph"/>
        <w:numPr>
          <w:ilvl w:val="0"/>
          <w:numId w:val="6"/>
        </w:numPr>
        <w:spacing w:after="0"/>
        <w:ind w:left="360"/>
        <w:rPr>
          <w:rFonts w:asciiTheme="minorHAnsi" w:hAnsiTheme="minorHAnsi"/>
          <w:sz w:val="22"/>
        </w:rPr>
      </w:pPr>
      <w:r w:rsidRPr="00277B5D">
        <w:rPr>
          <w:rFonts w:asciiTheme="minorHAnsi" w:hAnsiTheme="minorHAnsi"/>
          <w:b/>
          <w:sz w:val="22"/>
        </w:rPr>
        <w:t>Project Advisory Board</w:t>
      </w:r>
      <w:r>
        <w:rPr>
          <w:rFonts w:asciiTheme="minorHAnsi" w:hAnsiTheme="minorHAnsi"/>
          <w:sz w:val="22"/>
        </w:rPr>
        <w:t xml:space="preserve"> – include relevant stakeholders in any project advisory board; meeting costs can appear under project management or governance</w:t>
      </w:r>
    </w:p>
    <w:p w:rsidR="00962B40" w:rsidRDefault="00962B40" w:rsidP="00962B40">
      <w:pPr>
        <w:pStyle w:val="ListParagraph"/>
        <w:spacing w:after="0"/>
        <w:ind w:left="360"/>
        <w:rPr>
          <w:rFonts w:asciiTheme="minorHAnsi" w:hAnsiTheme="minorHAnsi"/>
          <w:sz w:val="22"/>
        </w:rPr>
      </w:pPr>
    </w:p>
    <w:p w:rsidR="00962B40" w:rsidRPr="00B47124" w:rsidRDefault="00962B40" w:rsidP="00962B40">
      <w:pPr>
        <w:pStyle w:val="ListParagraph"/>
        <w:spacing w:after="0"/>
        <w:ind w:left="0"/>
        <w:rPr>
          <w:rFonts w:asciiTheme="minorHAnsi" w:hAnsiTheme="minorHAnsi"/>
          <w:b/>
          <w:color w:val="2E74B5" w:themeColor="accent1" w:themeShade="BF"/>
        </w:rPr>
      </w:pPr>
      <w:r w:rsidRPr="00B47124">
        <w:rPr>
          <w:rFonts w:asciiTheme="minorHAnsi" w:hAnsiTheme="minorHAnsi"/>
          <w:b/>
          <w:color w:val="2E74B5" w:themeColor="accent1" w:themeShade="BF"/>
        </w:rPr>
        <w:t>Staff time for impact activities</w:t>
      </w:r>
    </w:p>
    <w:p w:rsidR="00962B40" w:rsidRDefault="00962B40" w:rsidP="00962B40">
      <w:pPr>
        <w:pStyle w:val="ListParagraph"/>
        <w:spacing w:after="0"/>
        <w:ind w:left="0"/>
        <w:rPr>
          <w:rFonts w:asciiTheme="minorHAnsi" w:hAnsiTheme="minorHAnsi"/>
          <w:i/>
          <w:sz w:val="22"/>
        </w:rPr>
      </w:pPr>
      <w:r w:rsidRPr="00962B40">
        <w:rPr>
          <w:rFonts w:asciiTheme="minorHAnsi" w:hAnsiTheme="minorHAnsi"/>
          <w:i/>
          <w:sz w:val="22"/>
        </w:rPr>
        <w:t xml:space="preserve">Don’t forget to include </w:t>
      </w:r>
      <w:r w:rsidR="004C7CCC">
        <w:rPr>
          <w:rFonts w:asciiTheme="minorHAnsi" w:hAnsiTheme="minorHAnsi"/>
          <w:i/>
          <w:sz w:val="22"/>
        </w:rPr>
        <w:t xml:space="preserve">the days/weeks of impact work </w:t>
      </w:r>
      <w:r w:rsidRPr="00962B40">
        <w:rPr>
          <w:rFonts w:asciiTheme="minorHAnsi" w:hAnsiTheme="minorHAnsi"/>
          <w:i/>
          <w:sz w:val="22"/>
        </w:rPr>
        <w:t xml:space="preserve">in the </w:t>
      </w:r>
      <w:r w:rsidR="00277B5D">
        <w:rPr>
          <w:rFonts w:asciiTheme="minorHAnsi" w:hAnsiTheme="minorHAnsi"/>
          <w:i/>
          <w:sz w:val="22"/>
        </w:rPr>
        <w:t xml:space="preserve">overall research </w:t>
      </w:r>
      <w:r w:rsidRPr="00962B40">
        <w:rPr>
          <w:rFonts w:asciiTheme="minorHAnsi" w:hAnsiTheme="minorHAnsi"/>
          <w:i/>
          <w:sz w:val="22"/>
        </w:rPr>
        <w:t xml:space="preserve">project plans </w:t>
      </w:r>
      <w:r w:rsidR="004C7CCC">
        <w:rPr>
          <w:rFonts w:asciiTheme="minorHAnsi" w:hAnsiTheme="minorHAnsi"/>
          <w:i/>
          <w:sz w:val="22"/>
        </w:rPr>
        <w:t>&amp; costs</w:t>
      </w:r>
    </w:p>
    <w:p w:rsidR="00962B40" w:rsidRPr="00962B40" w:rsidRDefault="00962B40" w:rsidP="00962B40">
      <w:pPr>
        <w:pStyle w:val="ListParagraph"/>
        <w:numPr>
          <w:ilvl w:val="0"/>
          <w:numId w:val="7"/>
        </w:numPr>
        <w:spacing w:after="0"/>
        <w:rPr>
          <w:rFonts w:asciiTheme="minorHAnsi" w:hAnsiTheme="minorHAnsi"/>
          <w:sz w:val="22"/>
        </w:rPr>
      </w:pPr>
      <w:r w:rsidRPr="00277B5D">
        <w:rPr>
          <w:rFonts w:asciiTheme="minorHAnsi" w:hAnsiTheme="minorHAnsi"/>
          <w:b/>
          <w:sz w:val="22"/>
        </w:rPr>
        <w:t>Research Associate time</w:t>
      </w:r>
      <w:r w:rsidRPr="00962B40">
        <w:rPr>
          <w:rFonts w:asciiTheme="minorHAnsi" w:hAnsiTheme="minorHAnsi"/>
          <w:sz w:val="22"/>
        </w:rPr>
        <w:t xml:space="preserve"> – estimate the time required for impact activities</w:t>
      </w:r>
      <w:r w:rsidR="0065775A">
        <w:rPr>
          <w:rFonts w:asciiTheme="minorHAnsi" w:hAnsiTheme="minorHAnsi"/>
          <w:sz w:val="22"/>
        </w:rPr>
        <w:t>;</w:t>
      </w:r>
      <w:r w:rsidRPr="00962B40">
        <w:rPr>
          <w:rFonts w:asciiTheme="minorHAnsi" w:hAnsiTheme="minorHAnsi"/>
          <w:sz w:val="22"/>
        </w:rPr>
        <w:t xml:space="preserve"> allow for this within and during the research, or add time after the research is completed e.g. for a secondment</w:t>
      </w:r>
    </w:p>
    <w:p w:rsidR="00B57D61" w:rsidRDefault="00962B40" w:rsidP="00962B40">
      <w:pPr>
        <w:pStyle w:val="ListParagraph"/>
        <w:numPr>
          <w:ilvl w:val="0"/>
          <w:numId w:val="7"/>
        </w:numPr>
        <w:spacing w:after="0"/>
        <w:rPr>
          <w:rFonts w:asciiTheme="minorHAnsi" w:hAnsiTheme="minorHAnsi"/>
          <w:sz w:val="22"/>
        </w:rPr>
      </w:pPr>
      <w:r w:rsidRPr="00277B5D">
        <w:rPr>
          <w:rFonts w:asciiTheme="minorHAnsi" w:hAnsiTheme="minorHAnsi"/>
          <w:b/>
          <w:sz w:val="22"/>
        </w:rPr>
        <w:t>Knowledge Exchange speci</w:t>
      </w:r>
      <w:r w:rsidR="00B57D61" w:rsidRPr="00277B5D">
        <w:rPr>
          <w:rFonts w:asciiTheme="minorHAnsi" w:hAnsiTheme="minorHAnsi"/>
          <w:b/>
          <w:sz w:val="22"/>
        </w:rPr>
        <w:t>a</w:t>
      </w:r>
      <w:r w:rsidRPr="00277B5D">
        <w:rPr>
          <w:rFonts w:asciiTheme="minorHAnsi" w:hAnsiTheme="minorHAnsi"/>
          <w:b/>
          <w:sz w:val="22"/>
        </w:rPr>
        <w:t>lists</w:t>
      </w:r>
      <w:r>
        <w:rPr>
          <w:rFonts w:asciiTheme="minorHAnsi" w:hAnsiTheme="minorHAnsi"/>
          <w:sz w:val="22"/>
        </w:rPr>
        <w:t xml:space="preserve"> –</w:t>
      </w:r>
      <w:r w:rsidR="0065775A">
        <w:rPr>
          <w:rFonts w:asciiTheme="minorHAnsi" w:hAnsiTheme="minorHAnsi"/>
          <w:sz w:val="22"/>
        </w:rPr>
        <w:t xml:space="preserve"> </w:t>
      </w:r>
      <w:r>
        <w:rPr>
          <w:rFonts w:asciiTheme="minorHAnsi" w:hAnsiTheme="minorHAnsi"/>
          <w:sz w:val="22"/>
        </w:rPr>
        <w:t xml:space="preserve">to </w:t>
      </w:r>
      <w:r w:rsidR="00B57D61">
        <w:rPr>
          <w:rFonts w:asciiTheme="minorHAnsi" w:hAnsiTheme="minorHAnsi"/>
          <w:sz w:val="22"/>
        </w:rPr>
        <w:t xml:space="preserve">engage with stakeholders, set up events, broker new relationships and identify routes to impact. RED, </w:t>
      </w:r>
      <w:r w:rsidR="007819D0">
        <w:rPr>
          <w:rFonts w:asciiTheme="minorHAnsi" w:hAnsiTheme="minorHAnsi"/>
          <w:sz w:val="22"/>
        </w:rPr>
        <w:t xml:space="preserve">CPE, </w:t>
      </w:r>
      <w:r w:rsidR="0065775A">
        <w:rPr>
          <w:rFonts w:asciiTheme="minorHAnsi" w:hAnsiTheme="minorHAnsi"/>
          <w:sz w:val="22"/>
        </w:rPr>
        <w:t>a</w:t>
      </w:r>
      <w:r w:rsidR="00B57D61">
        <w:rPr>
          <w:rFonts w:asciiTheme="minorHAnsi" w:hAnsiTheme="minorHAnsi"/>
          <w:sz w:val="22"/>
        </w:rPr>
        <w:t xml:space="preserve"> University Research Institute or Policy Bristol</w:t>
      </w:r>
      <w:r w:rsidRPr="00962B40">
        <w:rPr>
          <w:rFonts w:asciiTheme="minorHAnsi" w:hAnsiTheme="minorHAnsi"/>
          <w:sz w:val="22"/>
        </w:rPr>
        <w:t xml:space="preserve"> </w:t>
      </w:r>
      <w:r w:rsidR="0065775A">
        <w:rPr>
          <w:rFonts w:asciiTheme="minorHAnsi" w:hAnsiTheme="minorHAnsi"/>
          <w:sz w:val="22"/>
        </w:rPr>
        <w:t xml:space="preserve">can advise and </w:t>
      </w:r>
      <w:r w:rsidR="00B57D61">
        <w:rPr>
          <w:rFonts w:asciiTheme="minorHAnsi" w:hAnsiTheme="minorHAnsi"/>
          <w:sz w:val="22"/>
        </w:rPr>
        <w:t xml:space="preserve">may be able to provide this expertise in-house (some Universities regularly request such staff time and pool it to fund specialists at School/Faculty/HEI level) </w:t>
      </w:r>
    </w:p>
    <w:p w:rsidR="00277B5D" w:rsidRDefault="00277B5D" w:rsidP="00962B40">
      <w:pPr>
        <w:pStyle w:val="ListParagraph"/>
        <w:numPr>
          <w:ilvl w:val="0"/>
          <w:numId w:val="7"/>
        </w:numPr>
        <w:spacing w:after="0"/>
        <w:rPr>
          <w:rFonts w:asciiTheme="minorHAnsi" w:hAnsiTheme="minorHAnsi"/>
          <w:sz w:val="22"/>
        </w:rPr>
      </w:pPr>
      <w:r w:rsidRPr="00277B5D">
        <w:rPr>
          <w:rFonts w:asciiTheme="minorHAnsi" w:hAnsiTheme="minorHAnsi"/>
          <w:b/>
          <w:sz w:val="22"/>
        </w:rPr>
        <w:t>Project Administrator</w:t>
      </w:r>
      <w:r>
        <w:rPr>
          <w:rFonts w:asciiTheme="minorHAnsi" w:hAnsiTheme="minorHAnsi"/>
          <w:sz w:val="22"/>
        </w:rPr>
        <w:t xml:space="preserve"> – can support the organisation of events, marketing and publicity…</w:t>
      </w:r>
    </w:p>
    <w:p w:rsidR="00B57D61" w:rsidRDefault="00B57D61" w:rsidP="00B57D61">
      <w:pPr>
        <w:spacing w:after="0"/>
      </w:pPr>
    </w:p>
    <w:p w:rsidR="00B57D61" w:rsidRPr="00B47124" w:rsidRDefault="00B57D61" w:rsidP="00B57D61">
      <w:pPr>
        <w:spacing w:after="0"/>
        <w:rPr>
          <w:b/>
          <w:color w:val="2E74B5" w:themeColor="accent1" w:themeShade="BF"/>
          <w:sz w:val="24"/>
        </w:rPr>
      </w:pPr>
      <w:r w:rsidRPr="00B47124">
        <w:rPr>
          <w:b/>
          <w:color w:val="2E74B5" w:themeColor="accent1" w:themeShade="BF"/>
          <w:sz w:val="24"/>
        </w:rPr>
        <w:t>Do not include</w:t>
      </w:r>
    </w:p>
    <w:p w:rsidR="00962B40" w:rsidRDefault="00B57D61" w:rsidP="00B57D61">
      <w:pPr>
        <w:pStyle w:val="ListParagraph"/>
        <w:numPr>
          <w:ilvl w:val="0"/>
          <w:numId w:val="8"/>
        </w:numPr>
        <w:spacing w:after="0"/>
        <w:rPr>
          <w:rFonts w:asciiTheme="minorHAnsi" w:hAnsiTheme="minorHAnsi"/>
          <w:sz w:val="22"/>
        </w:rPr>
      </w:pPr>
      <w:r w:rsidRPr="00B57D61">
        <w:rPr>
          <w:rFonts w:asciiTheme="minorHAnsi" w:hAnsiTheme="minorHAnsi"/>
          <w:sz w:val="22"/>
        </w:rPr>
        <w:t>Academic conferences within your discipline – move those to the standard dissemination costs</w:t>
      </w:r>
    </w:p>
    <w:p w:rsidR="00A57856" w:rsidRDefault="00A57856" w:rsidP="00A57856">
      <w:pPr>
        <w:pStyle w:val="ListParagraph"/>
        <w:numPr>
          <w:ilvl w:val="0"/>
          <w:numId w:val="8"/>
        </w:numPr>
        <w:spacing w:after="0"/>
        <w:rPr>
          <w:rFonts w:asciiTheme="minorHAnsi" w:hAnsiTheme="minorHAnsi"/>
          <w:sz w:val="22"/>
        </w:rPr>
      </w:pPr>
      <w:r w:rsidRPr="00A57856">
        <w:rPr>
          <w:rFonts w:asciiTheme="minorHAnsi" w:hAnsiTheme="minorHAnsi"/>
          <w:sz w:val="22"/>
        </w:rPr>
        <w:t>T&amp;S costs for stakeholders named on the proposal as Project Partners cannot be requested from the RC</w:t>
      </w:r>
    </w:p>
    <w:p w:rsidR="00B57D61" w:rsidRDefault="00B57D61" w:rsidP="00B57D61">
      <w:pPr>
        <w:pStyle w:val="ListParagraph"/>
        <w:numPr>
          <w:ilvl w:val="0"/>
          <w:numId w:val="8"/>
        </w:numPr>
        <w:spacing w:after="0"/>
        <w:rPr>
          <w:rFonts w:asciiTheme="minorHAnsi" w:hAnsiTheme="minorHAnsi"/>
          <w:sz w:val="22"/>
        </w:rPr>
      </w:pPr>
      <w:r>
        <w:rPr>
          <w:rFonts w:asciiTheme="minorHAnsi" w:hAnsiTheme="minorHAnsi"/>
          <w:sz w:val="22"/>
        </w:rPr>
        <w:t>Open access publication – journals may charge author fees which can be</w:t>
      </w:r>
      <w:r w:rsidR="001E083F">
        <w:rPr>
          <w:rFonts w:asciiTheme="minorHAnsi" w:hAnsiTheme="minorHAnsi"/>
          <w:sz w:val="22"/>
        </w:rPr>
        <w:t xml:space="preserve"> included in many grants under d</w:t>
      </w:r>
      <w:r>
        <w:rPr>
          <w:rFonts w:asciiTheme="minorHAnsi" w:hAnsiTheme="minorHAnsi"/>
          <w:sz w:val="22"/>
        </w:rPr>
        <w:t>issemination and/or requested from the Library. NB most journals allow you to place your final version on PURE or a repository for free.</w:t>
      </w:r>
    </w:p>
    <w:p w:rsidR="00805D9F" w:rsidRDefault="00805D9F" w:rsidP="00B57D61">
      <w:pPr>
        <w:pStyle w:val="ListParagraph"/>
        <w:numPr>
          <w:ilvl w:val="0"/>
          <w:numId w:val="8"/>
        </w:numPr>
        <w:spacing w:after="0"/>
        <w:rPr>
          <w:rFonts w:asciiTheme="minorHAnsi" w:hAnsiTheme="minorHAnsi"/>
          <w:sz w:val="22"/>
        </w:rPr>
      </w:pPr>
      <w:r>
        <w:rPr>
          <w:rFonts w:asciiTheme="minorHAnsi" w:hAnsiTheme="minorHAnsi"/>
          <w:sz w:val="22"/>
        </w:rPr>
        <w:t>Patent costs</w:t>
      </w:r>
      <w:r>
        <w:rPr>
          <w:rFonts w:asciiTheme="minorHAnsi" w:hAnsiTheme="minorHAnsi"/>
          <w:sz w:val="22"/>
        </w:rPr>
        <w:br/>
      </w:r>
    </w:p>
    <w:p w:rsidR="00C45708" w:rsidRPr="00C45708" w:rsidRDefault="00C45708" w:rsidP="00C37896">
      <w:pPr>
        <w:rPr>
          <w:i/>
        </w:rPr>
      </w:pPr>
      <w:r w:rsidRPr="00C45708">
        <w:rPr>
          <w:i/>
        </w:rPr>
        <w:t xml:space="preserve">Andrew Wray &amp; Jean </w:t>
      </w:r>
      <w:proofErr w:type="spellStart"/>
      <w:r w:rsidRPr="00C45708">
        <w:rPr>
          <w:i/>
        </w:rPr>
        <w:t>Pretlove</w:t>
      </w:r>
      <w:proofErr w:type="spellEnd"/>
      <w:r w:rsidRPr="00C45708">
        <w:rPr>
          <w:i/>
        </w:rPr>
        <w:t>, RED, 26 January 2015</w:t>
      </w:r>
    </w:p>
    <w:sectPr w:rsidR="00C45708" w:rsidRPr="00C45708" w:rsidSect="00B471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268D"/>
    <w:multiLevelType w:val="hybridMultilevel"/>
    <w:tmpl w:val="1E50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B3FBE"/>
    <w:multiLevelType w:val="hybridMultilevel"/>
    <w:tmpl w:val="2BFCC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AE68D0"/>
    <w:multiLevelType w:val="hybridMultilevel"/>
    <w:tmpl w:val="15DE6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B572761"/>
    <w:multiLevelType w:val="hybridMultilevel"/>
    <w:tmpl w:val="E2046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444C84"/>
    <w:multiLevelType w:val="hybridMultilevel"/>
    <w:tmpl w:val="C336A9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E5A2195"/>
    <w:multiLevelType w:val="hybridMultilevel"/>
    <w:tmpl w:val="2DE032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03A759A"/>
    <w:multiLevelType w:val="hybridMultilevel"/>
    <w:tmpl w:val="15DE6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264287"/>
    <w:multiLevelType w:val="hybridMultilevel"/>
    <w:tmpl w:val="E6C6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DC"/>
    <w:rsid w:val="000772CA"/>
    <w:rsid w:val="000E6F8D"/>
    <w:rsid w:val="00114ABD"/>
    <w:rsid w:val="001E083F"/>
    <w:rsid w:val="00277B5D"/>
    <w:rsid w:val="00301917"/>
    <w:rsid w:val="00325314"/>
    <w:rsid w:val="00341602"/>
    <w:rsid w:val="003551A6"/>
    <w:rsid w:val="003552CB"/>
    <w:rsid w:val="00364000"/>
    <w:rsid w:val="003B4A8B"/>
    <w:rsid w:val="003C026D"/>
    <w:rsid w:val="003C66AE"/>
    <w:rsid w:val="0046356A"/>
    <w:rsid w:val="004C7CCC"/>
    <w:rsid w:val="005C2F26"/>
    <w:rsid w:val="005E06BC"/>
    <w:rsid w:val="005E171B"/>
    <w:rsid w:val="005F06C5"/>
    <w:rsid w:val="006123D6"/>
    <w:rsid w:val="00617F25"/>
    <w:rsid w:val="00623C08"/>
    <w:rsid w:val="0065775A"/>
    <w:rsid w:val="006B0776"/>
    <w:rsid w:val="006B3D64"/>
    <w:rsid w:val="006C56BF"/>
    <w:rsid w:val="0074183C"/>
    <w:rsid w:val="007819D0"/>
    <w:rsid w:val="007B559D"/>
    <w:rsid w:val="00805D9F"/>
    <w:rsid w:val="00846FDC"/>
    <w:rsid w:val="0086734A"/>
    <w:rsid w:val="00881A20"/>
    <w:rsid w:val="008B084C"/>
    <w:rsid w:val="008F6944"/>
    <w:rsid w:val="0095231C"/>
    <w:rsid w:val="00962B40"/>
    <w:rsid w:val="00965BAA"/>
    <w:rsid w:val="0096748F"/>
    <w:rsid w:val="009820D9"/>
    <w:rsid w:val="009E4049"/>
    <w:rsid w:val="00A018AA"/>
    <w:rsid w:val="00A047B9"/>
    <w:rsid w:val="00A125C5"/>
    <w:rsid w:val="00A57856"/>
    <w:rsid w:val="00AB4DCF"/>
    <w:rsid w:val="00B47124"/>
    <w:rsid w:val="00B53281"/>
    <w:rsid w:val="00B57D61"/>
    <w:rsid w:val="00B812E7"/>
    <w:rsid w:val="00B84322"/>
    <w:rsid w:val="00C059BA"/>
    <w:rsid w:val="00C37896"/>
    <w:rsid w:val="00C45708"/>
    <w:rsid w:val="00C515D9"/>
    <w:rsid w:val="00C53A2C"/>
    <w:rsid w:val="00C80807"/>
    <w:rsid w:val="00C93A86"/>
    <w:rsid w:val="00C95666"/>
    <w:rsid w:val="00C97253"/>
    <w:rsid w:val="00CF157D"/>
    <w:rsid w:val="00D50C08"/>
    <w:rsid w:val="00D924BE"/>
    <w:rsid w:val="00DA2F22"/>
    <w:rsid w:val="00E01007"/>
    <w:rsid w:val="00E45530"/>
    <w:rsid w:val="00E61C60"/>
    <w:rsid w:val="00E743E8"/>
    <w:rsid w:val="00EA1650"/>
    <w:rsid w:val="00EE51AC"/>
    <w:rsid w:val="00F30A70"/>
    <w:rsid w:val="00F41615"/>
    <w:rsid w:val="00F63782"/>
    <w:rsid w:val="00F83C7F"/>
    <w:rsid w:val="00FD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126E6-3E73-4567-9907-DA30CE6B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08"/>
  </w:style>
  <w:style w:type="paragraph" w:styleId="Heading3">
    <w:name w:val="heading 3"/>
    <w:basedOn w:val="Normal"/>
    <w:next w:val="Normal"/>
    <w:link w:val="Heading3Char"/>
    <w:uiPriority w:val="9"/>
    <w:unhideWhenUsed/>
    <w:qFormat/>
    <w:rsid w:val="005E06BC"/>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F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4ABD"/>
    <w:rPr>
      <w:color w:val="0563C1" w:themeColor="hyperlink"/>
      <w:u w:val="single"/>
    </w:rPr>
  </w:style>
  <w:style w:type="paragraph" w:styleId="ListParagraph">
    <w:name w:val="List Paragraph"/>
    <w:basedOn w:val="Normal"/>
    <w:uiPriority w:val="34"/>
    <w:qFormat/>
    <w:rsid w:val="005E06BC"/>
    <w:pPr>
      <w:spacing w:after="80" w:line="240" w:lineRule="auto"/>
      <w:ind w:left="720"/>
      <w:contextualSpacing/>
    </w:pPr>
    <w:rPr>
      <w:rFonts w:ascii="Arial" w:hAnsi="Arial"/>
      <w:sz w:val="24"/>
    </w:rPr>
  </w:style>
  <w:style w:type="character" w:customStyle="1" w:styleId="Heading3Char">
    <w:name w:val="Heading 3 Char"/>
    <w:basedOn w:val="DefaultParagraphFont"/>
    <w:link w:val="Heading3"/>
    <w:uiPriority w:val="9"/>
    <w:rsid w:val="005E06BC"/>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325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14"/>
    <w:rPr>
      <w:rFonts w:ascii="Segoe UI" w:hAnsi="Segoe UI" w:cs="Segoe UI"/>
      <w:sz w:val="18"/>
      <w:szCs w:val="18"/>
    </w:rPr>
  </w:style>
  <w:style w:type="character" w:styleId="CommentReference">
    <w:name w:val="annotation reference"/>
    <w:basedOn w:val="DefaultParagraphFont"/>
    <w:uiPriority w:val="99"/>
    <w:semiHidden/>
    <w:unhideWhenUsed/>
    <w:rsid w:val="003B4A8B"/>
    <w:rPr>
      <w:sz w:val="16"/>
      <w:szCs w:val="16"/>
    </w:rPr>
  </w:style>
  <w:style w:type="paragraph" w:styleId="CommentText">
    <w:name w:val="annotation text"/>
    <w:basedOn w:val="Normal"/>
    <w:link w:val="CommentTextChar"/>
    <w:uiPriority w:val="99"/>
    <w:semiHidden/>
    <w:unhideWhenUsed/>
    <w:rsid w:val="003B4A8B"/>
    <w:pPr>
      <w:spacing w:line="240" w:lineRule="auto"/>
    </w:pPr>
    <w:rPr>
      <w:sz w:val="20"/>
      <w:szCs w:val="20"/>
    </w:rPr>
  </w:style>
  <w:style w:type="character" w:customStyle="1" w:styleId="CommentTextChar">
    <w:name w:val="Comment Text Char"/>
    <w:basedOn w:val="DefaultParagraphFont"/>
    <w:link w:val="CommentText"/>
    <w:uiPriority w:val="99"/>
    <w:semiHidden/>
    <w:rsid w:val="003B4A8B"/>
    <w:rPr>
      <w:sz w:val="20"/>
      <w:szCs w:val="20"/>
    </w:rPr>
  </w:style>
  <w:style w:type="paragraph" w:styleId="CommentSubject">
    <w:name w:val="annotation subject"/>
    <w:basedOn w:val="CommentText"/>
    <w:next w:val="CommentText"/>
    <w:link w:val="CommentSubjectChar"/>
    <w:uiPriority w:val="99"/>
    <w:semiHidden/>
    <w:unhideWhenUsed/>
    <w:rsid w:val="003B4A8B"/>
    <w:rPr>
      <w:b/>
      <w:bCs/>
    </w:rPr>
  </w:style>
  <w:style w:type="character" w:customStyle="1" w:styleId="CommentSubjectChar">
    <w:name w:val="Comment Subject Char"/>
    <w:basedOn w:val="CommentTextChar"/>
    <w:link w:val="CommentSubject"/>
    <w:uiPriority w:val="99"/>
    <w:semiHidden/>
    <w:rsid w:val="003B4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 Pretlove</dc:creator>
  <cp:lastModifiedBy>AM Wray</cp:lastModifiedBy>
  <cp:revision>7</cp:revision>
  <cp:lastPrinted>2015-01-06T12:32:00Z</cp:lastPrinted>
  <dcterms:created xsi:type="dcterms:W3CDTF">2015-01-26T15:51:00Z</dcterms:created>
  <dcterms:modified xsi:type="dcterms:W3CDTF">2015-01-26T16:00:00Z</dcterms:modified>
</cp:coreProperties>
</file>