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DF27A" w14:textId="77777777" w:rsidR="00521F30" w:rsidRDefault="00521F30" w:rsidP="00521F30">
      <w:pPr>
        <w:pStyle w:val="NoSpacing"/>
        <w:jc w:val="right"/>
        <w:rPr>
          <w:rFonts w:ascii="Calibri" w:hAnsi="Calibri"/>
          <w:b/>
          <w:sz w:val="24"/>
          <w:szCs w:val="24"/>
        </w:rPr>
      </w:pPr>
      <w:r w:rsidRPr="00914681">
        <w:rPr>
          <w:noProof/>
        </w:rPr>
        <w:drawing>
          <wp:inline distT="0" distB="0" distL="0" distR="0" wp14:anchorId="32A8BA6C" wp14:editId="0E049F93">
            <wp:extent cx="2152650" cy="619125"/>
            <wp:effectExtent l="0" t="0" r="0" b="9525"/>
            <wp:docPr id="7" name="Picture 7" descr="C:\Users\retabc\Chrome Local Downloads\logo-ltr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tabc\Chrome Local Downloads\logo-ltr (3).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2650" cy="619125"/>
                    </a:xfrm>
                    <a:prstGeom prst="rect">
                      <a:avLst/>
                    </a:prstGeom>
                    <a:noFill/>
                    <a:ln>
                      <a:noFill/>
                    </a:ln>
                  </pic:spPr>
                </pic:pic>
              </a:graphicData>
            </a:graphic>
          </wp:inline>
        </w:drawing>
      </w:r>
    </w:p>
    <w:p w14:paraId="6A8C0830" w14:textId="43583DB6" w:rsidR="00521F30" w:rsidRDefault="00F53B6C" w:rsidP="00521F30">
      <w:pPr>
        <w:pStyle w:val="NoSpacing"/>
        <w:jc w:val="center"/>
        <w:rPr>
          <w:rFonts w:ascii="Calibri" w:hAnsi="Calibri"/>
          <w:b/>
          <w:sz w:val="24"/>
          <w:szCs w:val="24"/>
        </w:rPr>
      </w:pPr>
      <w:r>
        <w:rPr>
          <w:noProof/>
          <w:sz w:val="28"/>
          <w:szCs w:val="28"/>
        </w:rPr>
        <w:drawing>
          <wp:inline distT="0" distB="0" distL="0" distR="0" wp14:anchorId="2B444104" wp14:editId="712A98AB">
            <wp:extent cx="5943600" cy="10795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1079500"/>
                    </a:xfrm>
                    <a:prstGeom prst="rect">
                      <a:avLst/>
                    </a:prstGeom>
                  </pic:spPr>
                </pic:pic>
              </a:graphicData>
            </a:graphic>
          </wp:inline>
        </w:drawing>
      </w:r>
    </w:p>
    <w:p w14:paraId="1922F96C" w14:textId="77777777" w:rsidR="00521F30" w:rsidRDefault="00521F30" w:rsidP="00521F30">
      <w:pPr>
        <w:pStyle w:val="NoSpacing"/>
        <w:rPr>
          <w:rFonts w:ascii="Calibri" w:hAnsi="Calibri"/>
          <w:b/>
          <w:sz w:val="24"/>
          <w:szCs w:val="24"/>
        </w:rPr>
      </w:pPr>
    </w:p>
    <w:p w14:paraId="6DC771DC" w14:textId="77777777" w:rsidR="00521F30" w:rsidRDefault="00521F30" w:rsidP="00521F30">
      <w:pPr>
        <w:pStyle w:val="NoSpacing"/>
        <w:rPr>
          <w:rFonts w:ascii="Calibri" w:hAnsi="Calibri"/>
          <w:b/>
          <w:sz w:val="24"/>
          <w:szCs w:val="24"/>
        </w:rPr>
      </w:pPr>
    </w:p>
    <w:p w14:paraId="0075DF79" w14:textId="020A30D1" w:rsidR="003C08B4" w:rsidRDefault="003C08B4" w:rsidP="00156A25">
      <w:pPr>
        <w:pStyle w:val="Preface"/>
        <w:spacing w:line="276" w:lineRule="auto"/>
        <w:rPr>
          <w:rFonts w:ascii="Calibri" w:hAnsi="Calibri" w:cs="Calibri"/>
          <w:color w:val="auto"/>
          <w:sz w:val="28"/>
          <w:szCs w:val="28"/>
        </w:rPr>
      </w:pPr>
      <w:r w:rsidRPr="003C08B4">
        <w:rPr>
          <w:rFonts w:ascii="Calibri" w:hAnsi="Calibri" w:cs="Calibri"/>
          <w:color w:val="auto"/>
          <w:sz w:val="28"/>
          <w:szCs w:val="28"/>
        </w:rPr>
        <w:t xml:space="preserve">A Wellness Action Plan is used by workplaces to positively manage and maintain </w:t>
      </w:r>
      <w:r w:rsidR="00156A25">
        <w:rPr>
          <w:rFonts w:ascii="Calibri" w:hAnsi="Calibri" w:cs="Calibri"/>
          <w:color w:val="auto"/>
          <w:sz w:val="28"/>
          <w:szCs w:val="28"/>
        </w:rPr>
        <w:t xml:space="preserve">positive </w:t>
      </w:r>
      <w:r w:rsidRPr="003C08B4">
        <w:rPr>
          <w:rFonts w:ascii="Calibri" w:hAnsi="Calibri" w:cs="Calibri"/>
          <w:color w:val="auto"/>
          <w:sz w:val="28"/>
          <w:szCs w:val="28"/>
        </w:rPr>
        <w:t xml:space="preserve">mental health. However, the principles can be used just as effectively with the recovery and management of physical health conditions and is a useful workplace health tool. It enables a more proactive approach of prevention through promoting wellbeing and improving employee engagement. </w:t>
      </w:r>
    </w:p>
    <w:p w14:paraId="71BDC84C" w14:textId="418FEF4A" w:rsidR="00156A25" w:rsidRPr="007D58A0" w:rsidRDefault="00156A25" w:rsidP="00156A25">
      <w:pPr>
        <w:spacing w:line="276" w:lineRule="auto"/>
        <w:jc w:val="both"/>
        <w:rPr>
          <w:sz w:val="28"/>
          <w:szCs w:val="28"/>
        </w:rPr>
      </w:pPr>
      <w:r>
        <w:rPr>
          <w:sz w:val="28"/>
          <w:szCs w:val="28"/>
        </w:rPr>
        <w:t xml:space="preserve">The plan is based </w:t>
      </w:r>
      <w:r w:rsidRPr="007D58A0">
        <w:rPr>
          <w:sz w:val="28"/>
          <w:szCs w:val="28"/>
        </w:rPr>
        <w:t xml:space="preserve">on a framework </w:t>
      </w:r>
      <w:r>
        <w:rPr>
          <w:sz w:val="28"/>
          <w:szCs w:val="28"/>
        </w:rPr>
        <w:t xml:space="preserve">supported </w:t>
      </w:r>
      <w:r w:rsidRPr="007D58A0">
        <w:rPr>
          <w:sz w:val="28"/>
          <w:szCs w:val="28"/>
        </w:rPr>
        <w:t xml:space="preserve">by the mental health charity MIND </w:t>
      </w:r>
      <w:r>
        <w:rPr>
          <w:sz w:val="28"/>
          <w:szCs w:val="28"/>
        </w:rPr>
        <w:t xml:space="preserve">and </w:t>
      </w:r>
      <w:r w:rsidRPr="007D58A0">
        <w:rPr>
          <w:sz w:val="28"/>
          <w:szCs w:val="28"/>
        </w:rPr>
        <w:t>is a</w:t>
      </w:r>
      <w:r>
        <w:rPr>
          <w:sz w:val="28"/>
          <w:szCs w:val="28"/>
        </w:rPr>
        <w:t>n optional and confidential</w:t>
      </w:r>
      <w:r w:rsidRPr="007D58A0">
        <w:rPr>
          <w:sz w:val="28"/>
          <w:szCs w:val="28"/>
        </w:rPr>
        <w:t xml:space="preserve"> tool which can help you manage your health and wellbeing at work. </w:t>
      </w:r>
    </w:p>
    <w:p w14:paraId="450AD79C" w14:textId="77777777" w:rsidR="003C08B4" w:rsidRPr="003C08B4" w:rsidRDefault="003C08B4" w:rsidP="00156A25">
      <w:pPr>
        <w:pStyle w:val="Subheader"/>
        <w:spacing w:line="276" w:lineRule="auto"/>
        <w:rPr>
          <w:rFonts w:asciiTheme="minorHAnsi" w:hAnsiTheme="minorHAnsi" w:cstheme="minorHAnsi"/>
          <w:sz w:val="28"/>
          <w:szCs w:val="28"/>
        </w:rPr>
      </w:pPr>
      <w:r w:rsidRPr="003C08B4">
        <w:rPr>
          <w:rFonts w:asciiTheme="minorHAnsi" w:hAnsiTheme="minorHAnsi" w:cstheme="minorHAnsi"/>
          <w:sz w:val="28"/>
          <w:szCs w:val="28"/>
        </w:rPr>
        <w:t>Benefits of a Wellness Action Plan</w:t>
      </w:r>
    </w:p>
    <w:p w14:paraId="4BFE4D6B" w14:textId="4A1B5AB8" w:rsidR="003C08B4" w:rsidRPr="003C08B4" w:rsidRDefault="003C08B4" w:rsidP="00156A25">
      <w:pPr>
        <w:spacing w:after="0" w:line="276" w:lineRule="auto"/>
        <w:rPr>
          <w:rFonts w:cstheme="minorHAnsi"/>
          <w:sz w:val="28"/>
          <w:szCs w:val="28"/>
        </w:rPr>
      </w:pPr>
      <w:r w:rsidRPr="003C08B4">
        <w:rPr>
          <w:rFonts w:cstheme="minorHAnsi"/>
          <w:sz w:val="28"/>
          <w:szCs w:val="28"/>
        </w:rPr>
        <w:t xml:space="preserve">A Wellness Action Plan helps to direct and consolidate conversations, as well as acting as ‘permission’ to revisit those conversations if any of the potential trigger points are noticed. The principles </w:t>
      </w:r>
      <w:r w:rsidR="00156A25">
        <w:rPr>
          <w:rFonts w:cstheme="minorHAnsi"/>
          <w:sz w:val="28"/>
          <w:szCs w:val="28"/>
        </w:rPr>
        <w:t xml:space="preserve">of an effective Wellness Action Plan </w:t>
      </w:r>
      <w:r w:rsidRPr="003C08B4">
        <w:rPr>
          <w:rFonts w:cstheme="minorHAnsi"/>
          <w:sz w:val="28"/>
          <w:szCs w:val="28"/>
        </w:rPr>
        <w:t xml:space="preserve">are to identify the work-related triggers and agree mitigating factors on both sides. </w:t>
      </w:r>
    </w:p>
    <w:p w14:paraId="1D6787C1" w14:textId="1477D7C7" w:rsidR="003C08B4" w:rsidRPr="003C08B4" w:rsidRDefault="003C08B4" w:rsidP="00156A25">
      <w:pPr>
        <w:spacing w:after="0" w:line="276" w:lineRule="auto"/>
        <w:rPr>
          <w:rFonts w:cstheme="minorHAnsi"/>
          <w:sz w:val="28"/>
          <w:szCs w:val="28"/>
        </w:rPr>
      </w:pPr>
      <w:r w:rsidRPr="003C08B4">
        <w:rPr>
          <w:rFonts w:cstheme="minorHAnsi"/>
          <w:sz w:val="28"/>
          <w:szCs w:val="28"/>
        </w:rPr>
        <w:t xml:space="preserve">A wellness action plan works well if it is led by the employee as the person best placed to understand their health needs, with active engagement by the line manager as the person best placed to identify reasonable support options at work. Regular review of the </w:t>
      </w:r>
      <w:r w:rsidR="00156A25">
        <w:rPr>
          <w:rFonts w:cstheme="minorHAnsi"/>
          <w:sz w:val="28"/>
          <w:szCs w:val="28"/>
        </w:rPr>
        <w:t>plan</w:t>
      </w:r>
      <w:r w:rsidRPr="003C08B4">
        <w:rPr>
          <w:rFonts w:cstheme="minorHAnsi"/>
          <w:sz w:val="28"/>
          <w:szCs w:val="28"/>
        </w:rPr>
        <w:t xml:space="preserve"> assists to ensure the information is current and viable for both parties.</w:t>
      </w:r>
    </w:p>
    <w:p w14:paraId="27CFB2AF" w14:textId="77777777" w:rsidR="003C08B4" w:rsidRPr="003C08B4" w:rsidRDefault="003C08B4" w:rsidP="003C08B4">
      <w:pPr>
        <w:spacing w:after="0" w:line="240" w:lineRule="auto"/>
        <w:rPr>
          <w:rFonts w:ascii="Trebuchet MS" w:hAnsi="Trebuchet MS"/>
        </w:rPr>
      </w:pPr>
    </w:p>
    <w:p w14:paraId="63F25CB8" w14:textId="5DAE7A18" w:rsidR="00156A25" w:rsidRDefault="00156A25" w:rsidP="00156A25">
      <w:pPr>
        <w:rPr>
          <w:sz w:val="28"/>
          <w:szCs w:val="28"/>
        </w:rPr>
      </w:pPr>
      <w:r>
        <w:rPr>
          <w:sz w:val="28"/>
          <w:szCs w:val="28"/>
        </w:rPr>
        <w:t xml:space="preserve">The </w:t>
      </w:r>
      <w:hyperlink r:id="rId12" w:history="1">
        <w:r w:rsidRPr="00170D05">
          <w:rPr>
            <w:rStyle w:val="Hyperlink"/>
            <w:sz w:val="28"/>
            <w:szCs w:val="28"/>
          </w:rPr>
          <w:t>Guide for Staff on Wellness Action Plans</w:t>
        </w:r>
      </w:hyperlink>
      <w:r>
        <w:rPr>
          <w:sz w:val="28"/>
          <w:szCs w:val="28"/>
        </w:rPr>
        <w:t xml:space="preserve"> should be read before completing this template.</w:t>
      </w:r>
    </w:p>
    <w:p w14:paraId="52ED9B91" w14:textId="77777777" w:rsidR="003C08B4" w:rsidRDefault="003C08B4" w:rsidP="00521F30">
      <w:pPr>
        <w:jc w:val="both"/>
        <w:rPr>
          <w:sz w:val="28"/>
          <w:szCs w:val="28"/>
        </w:rPr>
      </w:pPr>
    </w:p>
    <w:p w14:paraId="27A7A141" w14:textId="77777777" w:rsidR="007D58A0" w:rsidRPr="007D58A0" w:rsidRDefault="00F647F1">
      <w:pPr>
        <w:rPr>
          <w:sz w:val="28"/>
          <w:szCs w:val="28"/>
        </w:rPr>
      </w:pPr>
      <w:r>
        <w:rPr>
          <w:noProof/>
          <w:sz w:val="28"/>
          <w:szCs w:val="28"/>
        </w:rPr>
        <w:lastRenderedPageBreak/>
        <w:drawing>
          <wp:inline distT="0" distB="0" distL="0" distR="0" wp14:anchorId="626A71D0" wp14:editId="289D273C">
            <wp:extent cx="5943600" cy="1079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llness action plan.png"/>
                    <pic:cNvPicPr/>
                  </pic:nvPicPr>
                  <pic:blipFill>
                    <a:blip r:embed="rId11">
                      <a:extLst>
                        <a:ext uri="{28A0092B-C50C-407E-A947-70E740481C1C}">
                          <a14:useLocalDpi xmlns:a14="http://schemas.microsoft.com/office/drawing/2010/main" val="0"/>
                        </a:ext>
                      </a:extLst>
                    </a:blip>
                    <a:stretch>
                      <a:fillRect/>
                    </a:stretch>
                  </pic:blipFill>
                  <pic:spPr>
                    <a:xfrm>
                      <a:off x="0" y="0"/>
                      <a:ext cx="6023854" cy="1094076"/>
                    </a:xfrm>
                    <a:prstGeom prst="rect">
                      <a:avLst/>
                    </a:prstGeom>
                  </pic:spPr>
                </pic:pic>
              </a:graphicData>
            </a:graphic>
          </wp:inline>
        </w:drawing>
      </w:r>
    </w:p>
    <w:p w14:paraId="6C4238AB" w14:textId="73DE3E2B" w:rsidR="00156A25" w:rsidRPr="00B307EE" w:rsidRDefault="00156A25" w:rsidP="00156A25">
      <w:pPr>
        <w:pStyle w:val="NormalWeb"/>
        <w:spacing w:before="0" w:beforeAutospacing="0" w:after="225" w:afterAutospacing="0"/>
        <w:textAlignment w:val="baseline"/>
        <w:rPr>
          <w:rFonts w:ascii="Trebuchet MS" w:hAnsi="Trebuchet MS"/>
          <w:color w:val="44546A" w:themeColor="text2"/>
        </w:rPr>
      </w:pPr>
      <w:r w:rsidRPr="00B307EE">
        <w:rPr>
          <w:rFonts w:ascii="Trebuchet MS" w:eastAsiaTheme="minorHAnsi" w:hAnsi="Trebuchet MS" w:cstheme="minorBidi"/>
          <w:color w:val="44546A" w:themeColor="text2"/>
          <w:sz w:val="22"/>
          <w:szCs w:val="22"/>
          <w:lang w:eastAsia="en-US"/>
        </w:rPr>
        <w:t>This document is confidential between the employee and manager unless otherwise agreed.</w:t>
      </w:r>
      <w:r>
        <w:rPr>
          <w:rFonts w:ascii="Trebuchet MS" w:eastAsiaTheme="minorHAnsi" w:hAnsi="Trebuchet MS" w:cstheme="minorBidi"/>
          <w:color w:val="44546A" w:themeColor="text2"/>
          <w:sz w:val="22"/>
          <w:szCs w:val="22"/>
          <w:lang w:eastAsia="en-US"/>
        </w:rPr>
        <w:t xml:space="preserve"> </w:t>
      </w:r>
      <w:r w:rsidRPr="00B307EE">
        <w:rPr>
          <w:rFonts w:ascii="Trebuchet MS" w:eastAsiaTheme="minorHAnsi" w:hAnsi="Trebuchet MS" w:cstheme="minorBidi"/>
          <w:color w:val="44546A" w:themeColor="text2"/>
          <w:sz w:val="22"/>
          <w:szCs w:val="22"/>
          <w:lang w:eastAsia="en-US"/>
        </w:rPr>
        <w:t xml:space="preserve">It is best used as a flexible and dynamic tool and a date for revision is best determined at the outset. </w:t>
      </w:r>
    </w:p>
    <w:tbl>
      <w:tblPr>
        <w:tblStyle w:val="TableGrid"/>
        <w:tblW w:w="10201" w:type="dxa"/>
        <w:tblLook w:val="04A0" w:firstRow="1" w:lastRow="0" w:firstColumn="1" w:lastColumn="0" w:noHBand="0" w:noVBand="1"/>
      </w:tblPr>
      <w:tblGrid>
        <w:gridCol w:w="5098"/>
        <w:gridCol w:w="5103"/>
      </w:tblGrid>
      <w:tr w:rsidR="00156A25" w:rsidRPr="00B307EE" w14:paraId="638DC681" w14:textId="77777777" w:rsidTr="006C30C7">
        <w:tc>
          <w:tcPr>
            <w:tcW w:w="5098" w:type="dxa"/>
            <w:shd w:val="clear" w:color="auto" w:fill="D9D9D9" w:themeFill="background1" w:themeFillShade="D9"/>
          </w:tcPr>
          <w:p w14:paraId="4384F9F9" w14:textId="77777777" w:rsidR="00156A25" w:rsidRPr="00B307EE" w:rsidRDefault="00156A25" w:rsidP="006C30C7">
            <w:pPr>
              <w:rPr>
                <w:rFonts w:ascii="Trebuchet MS" w:hAnsi="Trebuchet MS"/>
                <w:color w:val="44546A" w:themeColor="text2"/>
              </w:rPr>
            </w:pPr>
            <w:r w:rsidRPr="00B307EE">
              <w:rPr>
                <w:rFonts w:ascii="Trebuchet MS" w:hAnsi="Trebuchet MS"/>
                <w:color w:val="44546A" w:themeColor="text2"/>
              </w:rPr>
              <w:t>Employee</w:t>
            </w:r>
          </w:p>
        </w:tc>
        <w:tc>
          <w:tcPr>
            <w:tcW w:w="5103" w:type="dxa"/>
            <w:shd w:val="clear" w:color="auto" w:fill="D9D9D9" w:themeFill="background1" w:themeFillShade="D9"/>
          </w:tcPr>
          <w:p w14:paraId="5F76970D" w14:textId="77777777" w:rsidR="00156A25" w:rsidRPr="00B307EE" w:rsidRDefault="00156A25" w:rsidP="006C30C7">
            <w:pPr>
              <w:rPr>
                <w:rFonts w:ascii="Trebuchet MS" w:hAnsi="Trebuchet MS"/>
                <w:color w:val="44546A" w:themeColor="text2"/>
              </w:rPr>
            </w:pPr>
            <w:r w:rsidRPr="00B307EE">
              <w:rPr>
                <w:rFonts w:ascii="Trebuchet MS" w:hAnsi="Trebuchet MS"/>
                <w:color w:val="44546A" w:themeColor="text2"/>
              </w:rPr>
              <w:t>Line Manager</w:t>
            </w:r>
          </w:p>
        </w:tc>
      </w:tr>
      <w:tr w:rsidR="00156A25" w:rsidRPr="00B307EE" w14:paraId="3F7E2B32" w14:textId="77777777" w:rsidTr="006C30C7">
        <w:tc>
          <w:tcPr>
            <w:tcW w:w="5098" w:type="dxa"/>
          </w:tcPr>
          <w:p w14:paraId="51053B92" w14:textId="77777777" w:rsidR="00156A25" w:rsidRPr="00B307EE" w:rsidRDefault="00156A25" w:rsidP="006C30C7">
            <w:pPr>
              <w:ind w:left="360" w:hanging="360"/>
              <w:rPr>
                <w:color w:val="44546A" w:themeColor="text2"/>
                <w:sz w:val="20"/>
                <w:szCs w:val="20"/>
              </w:rPr>
            </w:pPr>
            <w:r w:rsidRPr="00B307EE">
              <w:rPr>
                <w:color w:val="44546A" w:themeColor="text2"/>
                <w:sz w:val="20"/>
                <w:szCs w:val="20"/>
              </w:rPr>
              <w:t xml:space="preserve">Protective factors: </w:t>
            </w:r>
          </w:p>
          <w:p w14:paraId="50CB41C8" w14:textId="77777777" w:rsidR="00156A25" w:rsidRPr="00B307EE" w:rsidRDefault="00156A25" w:rsidP="006C30C7">
            <w:pPr>
              <w:rPr>
                <w:rFonts w:ascii="Trebuchet MS" w:hAnsi="Trebuchet MS"/>
                <w:color w:val="44546A" w:themeColor="text2"/>
                <w:sz w:val="20"/>
                <w:szCs w:val="20"/>
              </w:rPr>
            </w:pPr>
          </w:p>
          <w:p w14:paraId="20A76528" w14:textId="77777777" w:rsidR="00156A25" w:rsidRPr="00B307EE" w:rsidRDefault="00156A25" w:rsidP="006C30C7">
            <w:pPr>
              <w:rPr>
                <w:rFonts w:ascii="Trebuchet MS" w:hAnsi="Trebuchet MS"/>
                <w:color w:val="44546A" w:themeColor="text2"/>
                <w:sz w:val="20"/>
                <w:szCs w:val="20"/>
              </w:rPr>
            </w:pPr>
          </w:p>
          <w:p w14:paraId="50E07EA8" w14:textId="77777777" w:rsidR="00156A25" w:rsidRPr="00B307EE" w:rsidRDefault="00156A25" w:rsidP="006C30C7">
            <w:pPr>
              <w:rPr>
                <w:rFonts w:ascii="Trebuchet MS" w:hAnsi="Trebuchet MS"/>
                <w:color w:val="44546A" w:themeColor="text2"/>
                <w:sz w:val="20"/>
                <w:szCs w:val="20"/>
              </w:rPr>
            </w:pPr>
          </w:p>
          <w:p w14:paraId="4F67C5AD" w14:textId="77777777" w:rsidR="00156A25" w:rsidRPr="00B307EE" w:rsidRDefault="00156A25" w:rsidP="006C30C7">
            <w:pPr>
              <w:rPr>
                <w:rFonts w:ascii="Trebuchet MS" w:hAnsi="Trebuchet MS"/>
                <w:color w:val="44546A" w:themeColor="text2"/>
                <w:sz w:val="20"/>
                <w:szCs w:val="20"/>
              </w:rPr>
            </w:pPr>
          </w:p>
          <w:p w14:paraId="5B176519" w14:textId="77777777" w:rsidR="00156A25" w:rsidRPr="00B307EE" w:rsidRDefault="00156A25" w:rsidP="006C30C7">
            <w:pPr>
              <w:rPr>
                <w:rFonts w:ascii="Trebuchet MS" w:hAnsi="Trebuchet MS"/>
                <w:color w:val="44546A" w:themeColor="text2"/>
                <w:sz w:val="20"/>
                <w:szCs w:val="20"/>
              </w:rPr>
            </w:pPr>
          </w:p>
          <w:p w14:paraId="2B8E5576" w14:textId="77777777" w:rsidR="00156A25" w:rsidRPr="00B307EE" w:rsidRDefault="00156A25" w:rsidP="006C30C7">
            <w:pPr>
              <w:rPr>
                <w:rFonts w:ascii="Trebuchet MS" w:hAnsi="Trebuchet MS"/>
                <w:color w:val="44546A" w:themeColor="text2"/>
                <w:sz w:val="20"/>
                <w:szCs w:val="20"/>
              </w:rPr>
            </w:pPr>
          </w:p>
        </w:tc>
        <w:tc>
          <w:tcPr>
            <w:tcW w:w="5103" w:type="dxa"/>
          </w:tcPr>
          <w:p w14:paraId="0E71607E" w14:textId="77777777" w:rsidR="00156A25" w:rsidRPr="00B307EE" w:rsidRDefault="00156A25" w:rsidP="006C30C7">
            <w:pPr>
              <w:ind w:left="360" w:hanging="360"/>
              <w:rPr>
                <w:color w:val="44546A" w:themeColor="text2"/>
                <w:sz w:val="20"/>
                <w:szCs w:val="20"/>
              </w:rPr>
            </w:pPr>
            <w:r w:rsidRPr="00B307EE">
              <w:rPr>
                <w:color w:val="44546A" w:themeColor="text2"/>
                <w:sz w:val="20"/>
                <w:szCs w:val="20"/>
              </w:rPr>
              <w:t>Mitigating factors:</w:t>
            </w:r>
          </w:p>
          <w:p w14:paraId="2E8F8656" w14:textId="77777777" w:rsidR="00156A25" w:rsidRPr="00B307EE" w:rsidRDefault="00156A25" w:rsidP="006C30C7">
            <w:pPr>
              <w:rPr>
                <w:rFonts w:ascii="Trebuchet MS" w:hAnsi="Trebuchet MS"/>
                <w:color w:val="44546A" w:themeColor="text2"/>
                <w:sz w:val="20"/>
                <w:szCs w:val="20"/>
              </w:rPr>
            </w:pPr>
          </w:p>
          <w:p w14:paraId="53214C6F" w14:textId="77777777" w:rsidR="00156A25" w:rsidRPr="00B307EE" w:rsidRDefault="00156A25" w:rsidP="006C30C7">
            <w:pPr>
              <w:pStyle w:val="ListParagraph"/>
              <w:numPr>
                <w:ilvl w:val="0"/>
                <w:numId w:val="0"/>
              </w:numPr>
              <w:spacing w:line="240" w:lineRule="auto"/>
              <w:ind w:left="720"/>
              <w:jc w:val="left"/>
              <w:rPr>
                <w:color w:val="44546A" w:themeColor="text2"/>
                <w:sz w:val="20"/>
                <w:szCs w:val="20"/>
              </w:rPr>
            </w:pPr>
          </w:p>
        </w:tc>
      </w:tr>
      <w:tr w:rsidR="00156A25" w:rsidRPr="00B307EE" w14:paraId="38BA3568" w14:textId="77777777" w:rsidTr="006C30C7">
        <w:tc>
          <w:tcPr>
            <w:tcW w:w="5098" w:type="dxa"/>
          </w:tcPr>
          <w:p w14:paraId="664BF414" w14:textId="77777777" w:rsidR="00156A25" w:rsidRPr="00B307EE" w:rsidRDefault="00156A25" w:rsidP="006C30C7">
            <w:pPr>
              <w:ind w:left="360" w:hanging="360"/>
              <w:rPr>
                <w:color w:val="44546A" w:themeColor="text2"/>
                <w:sz w:val="20"/>
                <w:szCs w:val="20"/>
              </w:rPr>
            </w:pPr>
            <w:r w:rsidRPr="00B307EE">
              <w:rPr>
                <w:color w:val="44546A" w:themeColor="text2"/>
                <w:sz w:val="20"/>
                <w:szCs w:val="20"/>
              </w:rPr>
              <w:t>Specific work-related stressors:</w:t>
            </w:r>
          </w:p>
          <w:p w14:paraId="0ADF9815" w14:textId="77777777" w:rsidR="00156A25" w:rsidRPr="00B307EE" w:rsidRDefault="00156A25" w:rsidP="006C30C7">
            <w:pPr>
              <w:pStyle w:val="ListParagraph"/>
              <w:numPr>
                <w:ilvl w:val="0"/>
                <w:numId w:val="0"/>
              </w:numPr>
              <w:ind w:left="360"/>
              <w:rPr>
                <w:color w:val="44546A" w:themeColor="text2"/>
                <w:sz w:val="20"/>
                <w:szCs w:val="20"/>
              </w:rPr>
            </w:pPr>
          </w:p>
          <w:p w14:paraId="3EDA17EC" w14:textId="77777777" w:rsidR="00156A25" w:rsidRPr="00B307EE" w:rsidRDefault="00156A25" w:rsidP="006C30C7">
            <w:pPr>
              <w:rPr>
                <w:color w:val="44546A" w:themeColor="text2"/>
                <w:sz w:val="20"/>
                <w:szCs w:val="20"/>
              </w:rPr>
            </w:pPr>
          </w:p>
          <w:p w14:paraId="4FD49EB6" w14:textId="77777777" w:rsidR="00156A25" w:rsidRPr="00B307EE" w:rsidRDefault="00156A25" w:rsidP="006C30C7">
            <w:pPr>
              <w:rPr>
                <w:color w:val="44546A" w:themeColor="text2"/>
                <w:sz w:val="20"/>
                <w:szCs w:val="20"/>
              </w:rPr>
            </w:pPr>
          </w:p>
          <w:p w14:paraId="2AD98E20" w14:textId="77777777" w:rsidR="00156A25" w:rsidRPr="00B307EE" w:rsidRDefault="00156A25" w:rsidP="006C30C7">
            <w:pPr>
              <w:rPr>
                <w:color w:val="44546A" w:themeColor="text2"/>
                <w:sz w:val="20"/>
                <w:szCs w:val="20"/>
              </w:rPr>
            </w:pPr>
          </w:p>
          <w:p w14:paraId="772E2B94" w14:textId="77777777" w:rsidR="00156A25" w:rsidRPr="00B307EE" w:rsidRDefault="00156A25" w:rsidP="006C30C7">
            <w:pPr>
              <w:rPr>
                <w:color w:val="44546A" w:themeColor="text2"/>
                <w:sz w:val="20"/>
                <w:szCs w:val="20"/>
              </w:rPr>
            </w:pPr>
          </w:p>
          <w:p w14:paraId="414AB152" w14:textId="77777777" w:rsidR="00156A25" w:rsidRPr="00B307EE" w:rsidRDefault="00156A25" w:rsidP="006C30C7">
            <w:pPr>
              <w:rPr>
                <w:rFonts w:ascii="Trebuchet MS" w:hAnsi="Trebuchet MS"/>
                <w:color w:val="44546A" w:themeColor="text2"/>
                <w:sz w:val="20"/>
                <w:szCs w:val="20"/>
              </w:rPr>
            </w:pPr>
          </w:p>
        </w:tc>
        <w:tc>
          <w:tcPr>
            <w:tcW w:w="5103" w:type="dxa"/>
          </w:tcPr>
          <w:p w14:paraId="698167A2" w14:textId="77777777" w:rsidR="00156A25" w:rsidRPr="00B307EE" w:rsidRDefault="00156A25" w:rsidP="006C30C7">
            <w:pPr>
              <w:ind w:left="360" w:hanging="360"/>
              <w:rPr>
                <w:color w:val="44546A" w:themeColor="text2"/>
                <w:sz w:val="20"/>
                <w:szCs w:val="20"/>
              </w:rPr>
            </w:pPr>
            <w:r w:rsidRPr="00B307EE">
              <w:rPr>
                <w:color w:val="44546A" w:themeColor="text2"/>
                <w:sz w:val="20"/>
                <w:szCs w:val="20"/>
              </w:rPr>
              <w:t>Mitigating actions:</w:t>
            </w:r>
          </w:p>
          <w:p w14:paraId="2471B1AE" w14:textId="77777777" w:rsidR="00156A25" w:rsidRPr="00B307EE" w:rsidRDefault="00156A25" w:rsidP="006C30C7">
            <w:pPr>
              <w:pStyle w:val="ListParagraph"/>
              <w:numPr>
                <w:ilvl w:val="0"/>
                <w:numId w:val="0"/>
              </w:numPr>
              <w:spacing w:line="240" w:lineRule="auto"/>
              <w:ind w:left="720"/>
              <w:jc w:val="left"/>
              <w:rPr>
                <w:color w:val="44546A" w:themeColor="text2"/>
                <w:sz w:val="20"/>
                <w:szCs w:val="20"/>
              </w:rPr>
            </w:pPr>
          </w:p>
        </w:tc>
      </w:tr>
      <w:tr w:rsidR="00156A25" w:rsidRPr="00B307EE" w14:paraId="2A67E2CA" w14:textId="77777777" w:rsidTr="006C30C7">
        <w:tc>
          <w:tcPr>
            <w:tcW w:w="5098" w:type="dxa"/>
          </w:tcPr>
          <w:p w14:paraId="5A9F9E69" w14:textId="77777777" w:rsidR="00156A25" w:rsidRPr="00B307EE" w:rsidRDefault="00156A25" w:rsidP="006C30C7">
            <w:pPr>
              <w:ind w:left="360" w:hanging="360"/>
              <w:rPr>
                <w:color w:val="44546A" w:themeColor="text2"/>
                <w:sz w:val="20"/>
                <w:szCs w:val="20"/>
              </w:rPr>
            </w:pPr>
            <w:r w:rsidRPr="00B307EE">
              <w:rPr>
                <w:color w:val="44546A" w:themeColor="text2"/>
                <w:sz w:val="20"/>
                <w:szCs w:val="20"/>
              </w:rPr>
              <w:t>Signs of deteriorating health:</w:t>
            </w:r>
          </w:p>
          <w:p w14:paraId="388D14DC" w14:textId="77777777" w:rsidR="00156A25" w:rsidRPr="00B307EE" w:rsidRDefault="00156A25" w:rsidP="006C30C7">
            <w:pPr>
              <w:rPr>
                <w:rFonts w:ascii="Trebuchet MS" w:hAnsi="Trebuchet MS"/>
                <w:color w:val="44546A" w:themeColor="text2"/>
                <w:sz w:val="20"/>
                <w:szCs w:val="20"/>
              </w:rPr>
            </w:pPr>
          </w:p>
          <w:p w14:paraId="17661949" w14:textId="77777777" w:rsidR="00156A25" w:rsidRPr="00B307EE" w:rsidRDefault="00156A25" w:rsidP="006C30C7">
            <w:pPr>
              <w:rPr>
                <w:rFonts w:ascii="Trebuchet MS" w:hAnsi="Trebuchet MS"/>
                <w:color w:val="44546A" w:themeColor="text2"/>
                <w:sz w:val="20"/>
                <w:szCs w:val="20"/>
              </w:rPr>
            </w:pPr>
          </w:p>
          <w:p w14:paraId="42E4C56F" w14:textId="77777777" w:rsidR="00156A25" w:rsidRPr="00B307EE" w:rsidRDefault="00156A25" w:rsidP="006C30C7">
            <w:pPr>
              <w:rPr>
                <w:rFonts w:ascii="Trebuchet MS" w:hAnsi="Trebuchet MS"/>
                <w:color w:val="44546A" w:themeColor="text2"/>
                <w:sz w:val="20"/>
                <w:szCs w:val="20"/>
              </w:rPr>
            </w:pPr>
          </w:p>
          <w:p w14:paraId="5D770AD7" w14:textId="77777777" w:rsidR="00156A25" w:rsidRPr="00B307EE" w:rsidRDefault="00156A25" w:rsidP="006C30C7">
            <w:pPr>
              <w:rPr>
                <w:rFonts w:ascii="Trebuchet MS" w:hAnsi="Trebuchet MS"/>
                <w:color w:val="44546A" w:themeColor="text2"/>
                <w:sz w:val="20"/>
                <w:szCs w:val="20"/>
              </w:rPr>
            </w:pPr>
          </w:p>
          <w:p w14:paraId="3AE7B9F0" w14:textId="77777777" w:rsidR="00156A25" w:rsidRPr="00B307EE" w:rsidRDefault="00156A25" w:rsidP="006C30C7">
            <w:pPr>
              <w:rPr>
                <w:rFonts w:ascii="Trebuchet MS" w:hAnsi="Trebuchet MS"/>
                <w:color w:val="44546A" w:themeColor="text2"/>
                <w:sz w:val="20"/>
                <w:szCs w:val="20"/>
              </w:rPr>
            </w:pPr>
          </w:p>
          <w:p w14:paraId="66D5123D" w14:textId="77777777" w:rsidR="00156A25" w:rsidRPr="00B307EE" w:rsidRDefault="00156A25" w:rsidP="006C30C7">
            <w:pPr>
              <w:rPr>
                <w:rFonts w:ascii="Trebuchet MS" w:hAnsi="Trebuchet MS"/>
                <w:color w:val="44546A" w:themeColor="text2"/>
                <w:sz w:val="20"/>
                <w:szCs w:val="20"/>
              </w:rPr>
            </w:pPr>
          </w:p>
        </w:tc>
        <w:tc>
          <w:tcPr>
            <w:tcW w:w="5103" w:type="dxa"/>
          </w:tcPr>
          <w:p w14:paraId="17299723" w14:textId="77777777" w:rsidR="00156A25" w:rsidRPr="00B307EE" w:rsidRDefault="00156A25" w:rsidP="006C30C7">
            <w:pPr>
              <w:ind w:left="360" w:hanging="360"/>
              <w:rPr>
                <w:color w:val="44546A" w:themeColor="text2"/>
                <w:sz w:val="20"/>
                <w:szCs w:val="20"/>
              </w:rPr>
            </w:pPr>
            <w:r w:rsidRPr="00B307EE">
              <w:rPr>
                <w:color w:val="44546A" w:themeColor="text2"/>
                <w:sz w:val="20"/>
                <w:szCs w:val="20"/>
              </w:rPr>
              <w:t>Actions when signs &amp; symptoms apparent:</w:t>
            </w:r>
          </w:p>
          <w:p w14:paraId="3197DF8D" w14:textId="77777777" w:rsidR="00156A25" w:rsidRPr="00B307EE" w:rsidRDefault="00156A25" w:rsidP="006C30C7">
            <w:pPr>
              <w:pStyle w:val="ListParagraph"/>
              <w:numPr>
                <w:ilvl w:val="0"/>
                <w:numId w:val="0"/>
              </w:numPr>
              <w:spacing w:line="240" w:lineRule="auto"/>
              <w:ind w:left="720"/>
              <w:jc w:val="left"/>
              <w:rPr>
                <w:color w:val="44546A" w:themeColor="text2"/>
                <w:sz w:val="20"/>
                <w:szCs w:val="20"/>
              </w:rPr>
            </w:pPr>
          </w:p>
        </w:tc>
      </w:tr>
      <w:tr w:rsidR="00156A25" w:rsidRPr="00B307EE" w14:paraId="6F68E83D" w14:textId="77777777" w:rsidTr="006C30C7">
        <w:tc>
          <w:tcPr>
            <w:tcW w:w="5098" w:type="dxa"/>
          </w:tcPr>
          <w:p w14:paraId="6E742C8E" w14:textId="77777777" w:rsidR="00156A25" w:rsidRPr="00B307EE" w:rsidRDefault="00156A25" w:rsidP="006C30C7">
            <w:pPr>
              <w:ind w:left="360" w:hanging="360"/>
              <w:rPr>
                <w:color w:val="44546A" w:themeColor="text2"/>
                <w:sz w:val="20"/>
                <w:szCs w:val="20"/>
              </w:rPr>
            </w:pPr>
            <w:r w:rsidRPr="00B307EE">
              <w:rPr>
                <w:color w:val="44546A" w:themeColor="text2"/>
                <w:sz w:val="20"/>
                <w:szCs w:val="20"/>
              </w:rPr>
              <w:t>Early intervention plan:</w:t>
            </w:r>
          </w:p>
          <w:p w14:paraId="79DE473B" w14:textId="77777777" w:rsidR="00156A25" w:rsidRPr="00B307EE" w:rsidRDefault="00156A25" w:rsidP="006C30C7">
            <w:pPr>
              <w:ind w:left="360" w:hanging="360"/>
              <w:rPr>
                <w:color w:val="44546A" w:themeColor="text2"/>
                <w:sz w:val="20"/>
                <w:szCs w:val="20"/>
              </w:rPr>
            </w:pPr>
          </w:p>
          <w:p w14:paraId="5F5FA82E" w14:textId="77777777" w:rsidR="00156A25" w:rsidRPr="00B307EE" w:rsidRDefault="00156A25" w:rsidP="006C30C7">
            <w:pPr>
              <w:pStyle w:val="ListParagraph"/>
              <w:numPr>
                <w:ilvl w:val="0"/>
                <w:numId w:val="0"/>
              </w:numPr>
              <w:ind w:left="360"/>
              <w:rPr>
                <w:color w:val="44546A" w:themeColor="text2"/>
                <w:sz w:val="20"/>
                <w:szCs w:val="20"/>
              </w:rPr>
            </w:pPr>
          </w:p>
          <w:p w14:paraId="73C3CF63" w14:textId="77777777" w:rsidR="00156A25" w:rsidRPr="00B307EE" w:rsidRDefault="00156A25" w:rsidP="006C30C7">
            <w:pPr>
              <w:pStyle w:val="ListParagraph"/>
              <w:numPr>
                <w:ilvl w:val="0"/>
                <w:numId w:val="0"/>
              </w:numPr>
              <w:ind w:left="360"/>
              <w:rPr>
                <w:color w:val="44546A" w:themeColor="text2"/>
                <w:sz w:val="20"/>
                <w:szCs w:val="20"/>
              </w:rPr>
            </w:pPr>
          </w:p>
          <w:p w14:paraId="39F811A2" w14:textId="77777777" w:rsidR="00156A25" w:rsidRPr="00B307EE" w:rsidRDefault="00156A25" w:rsidP="006C30C7">
            <w:pPr>
              <w:pStyle w:val="ListParagraph"/>
              <w:numPr>
                <w:ilvl w:val="0"/>
                <w:numId w:val="0"/>
              </w:numPr>
              <w:ind w:left="360"/>
              <w:rPr>
                <w:color w:val="44546A" w:themeColor="text2"/>
                <w:sz w:val="20"/>
                <w:szCs w:val="20"/>
              </w:rPr>
            </w:pPr>
          </w:p>
          <w:p w14:paraId="7CC959AD" w14:textId="77777777" w:rsidR="00156A25" w:rsidRPr="00B307EE" w:rsidRDefault="00156A25" w:rsidP="006C30C7">
            <w:pPr>
              <w:pStyle w:val="ListParagraph"/>
              <w:numPr>
                <w:ilvl w:val="0"/>
                <w:numId w:val="0"/>
              </w:numPr>
              <w:ind w:left="720"/>
              <w:rPr>
                <w:color w:val="44546A" w:themeColor="text2"/>
                <w:sz w:val="20"/>
                <w:szCs w:val="20"/>
              </w:rPr>
            </w:pPr>
          </w:p>
        </w:tc>
        <w:tc>
          <w:tcPr>
            <w:tcW w:w="5103" w:type="dxa"/>
          </w:tcPr>
          <w:p w14:paraId="53823C48" w14:textId="77777777" w:rsidR="00156A25" w:rsidRPr="00B307EE" w:rsidRDefault="00156A25" w:rsidP="006C30C7">
            <w:pPr>
              <w:ind w:left="360" w:hanging="360"/>
              <w:rPr>
                <w:color w:val="44546A" w:themeColor="text2"/>
                <w:sz w:val="20"/>
                <w:szCs w:val="20"/>
              </w:rPr>
            </w:pPr>
            <w:r w:rsidRPr="00B307EE">
              <w:rPr>
                <w:color w:val="44546A" w:themeColor="text2"/>
                <w:sz w:val="20"/>
                <w:szCs w:val="20"/>
              </w:rPr>
              <w:t>Absence actions:</w:t>
            </w:r>
          </w:p>
          <w:p w14:paraId="464F6881" w14:textId="77777777" w:rsidR="00156A25" w:rsidRPr="00B307EE" w:rsidRDefault="00156A25" w:rsidP="006C30C7">
            <w:pPr>
              <w:pStyle w:val="ListParagraph"/>
              <w:numPr>
                <w:ilvl w:val="0"/>
                <w:numId w:val="0"/>
              </w:numPr>
              <w:spacing w:line="240" w:lineRule="auto"/>
              <w:ind w:left="720"/>
              <w:jc w:val="left"/>
              <w:rPr>
                <w:color w:val="44546A" w:themeColor="text2"/>
                <w:sz w:val="20"/>
                <w:szCs w:val="20"/>
              </w:rPr>
            </w:pPr>
          </w:p>
        </w:tc>
      </w:tr>
      <w:tr w:rsidR="00156A25" w:rsidRPr="00B307EE" w14:paraId="62642246" w14:textId="77777777" w:rsidTr="006C30C7">
        <w:tc>
          <w:tcPr>
            <w:tcW w:w="5098" w:type="dxa"/>
          </w:tcPr>
          <w:p w14:paraId="26A26206" w14:textId="77777777" w:rsidR="00156A25" w:rsidRPr="00B307EE" w:rsidRDefault="00156A25" w:rsidP="006C30C7">
            <w:pPr>
              <w:ind w:left="360" w:hanging="360"/>
              <w:rPr>
                <w:color w:val="44546A" w:themeColor="text2"/>
                <w:sz w:val="20"/>
                <w:szCs w:val="20"/>
              </w:rPr>
            </w:pPr>
            <w:r w:rsidRPr="00B307EE">
              <w:rPr>
                <w:color w:val="44546A" w:themeColor="text2"/>
                <w:sz w:val="20"/>
                <w:szCs w:val="20"/>
              </w:rPr>
              <w:t>Sources of support:</w:t>
            </w:r>
          </w:p>
          <w:p w14:paraId="3E974F61" w14:textId="77777777" w:rsidR="00156A25" w:rsidRPr="00B307EE" w:rsidRDefault="00156A25" w:rsidP="006C30C7">
            <w:pPr>
              <w:ind w:left="360" w:hanging="360"/>
              <w:rPr>
                <w:color w:val="44546A" w:themeColor="text2"/>
                <w:sz w:val="20"/>
                <w:szCs w:val="20"/>
              </w:rPr>
            </w:pPr>
          </w:p>
          <w:p w14:paraId="4DCD15DA" w14:textId="77777777" w:rsidR="00156A25" w:rsidRPr="00B307EE" w:rsidRDefault="00156A25" w:rsidP="006C30C7">
            <w:pPr>
              <w:ind w:left="360" w:hanging="360"/>
              <w:rPr>
                <w:color w:val="44546A" w:themeColor="text2"/>
                <w:sz w:val="20"/>
                <w:szCs w:val="20"/>
              </w:rPr>
            </w:pPr>
          </w:p>
          <w:p w14:paraId="4FCC2F53" w14:textId="77777777" w:rsidR="00156A25" w:rsidRPr="00B307EE" w:rsidRDefault="00156A25" w:rsidP="006C30C7">
            <w:pPr>
              <w:ind w:left="360" w:hanging="360"/>
              <w:rPr>
                <w:color w:val="44546A" w:themeColor="text2"/>
                <w:sz w:val="20"/>
                <w:szCs w:val="20"/>
              </w:rPr>
            </w:pPr>
          </w:p>
          <w:p w14:paraId="674068E7" w14:textId="77777777" w:rsidR="00156A25" w:rsidRPr="00B307EE" w:rsidRDefault="00156A25" w:rsidP="006C30C7">
            <w:pPr>
              <w:ind w:left="360" w:hanging="360"/>
              <w:rPr>
                <w:color w:val="44546A" w:themeColor="text2"/>
                <w:sz w:val="20"/>
                <w:szCs w:val="20"/>
              </w:rPr>
            </w:pPr>
          </w:p>
          <w:p w14:paraId="2D055962" w14:textId="77777777" w:rsidR="00156A25" w:rsidRPr="00B307EE" w:rsidRDefault="00156A25" w:rsidP="006C30C7">
            <w:pPr>
              <w:ind w:left="360" w:hanging="360"/>
              <w:rPr>
                <w:color w:val="44546A" w:themeColor="text2"/>
                <w:sz w:val="20"/>
                <w:szCs w:val="20"/>
              </w:rPr>
            </w:pPr>
          </w:p>
          <w:p w14:paraId="4142DAEB" w14:textId="77777777" w:rsidR="00156A25" w:rsidRPr="00B307EE" w:rsidRDefault="00156A25" w:rsidP="006C30C7">
            <w:pPr>
              <w:pStyle w:val="ListParagraph"/>
              <w:numPr>
                <w:ilvl w:val="0"/>
                <w:numId w:val="0"/>
              </w:numPr>
              <w:spacing w:line="240" w:lineRule="auto"/>
              <w:ind w:left="720"/>
              <w:jc w:val="left"/>
              <w:rPr>
                <w:color w:val="44546A" w:themeColor="text2"/>
                <w:sz w:val="20"/>
                <w:szCs w:val="20"/>
              </w:rPr>
            </w:pPr>
          </w:p>
        </w:tc>
        <w:tc>
          <w:tcPr>
            <w:tcW w:w="5103" w:type="dxa"/>
          </w:tcPr>
          <w:p w14:paraId="3CD54CCD" w14:textId="77777777" w:rsidR="00156A25" w:rsidRPr="00B307EE" w:rsidRDefault="00156A25" w:rsidP="006C30C7">
            <w:pPr>
              <w:rPr>
                <w:color w:val="44546A" w:themeColor="text2"/>
                <w:sz w:val="20"/>
                <w:szCs w:val="20"/>
              </w:rPr>
            </w:pPr>
            <w:r w:rsidRPr="00B307EE">
              <w:rPr>
                <w:color w:val="44546A" w:themeColor="text2"/>
                <w:sz w:val="20"/>
                <w:szCs w:val="20"/>
              </w:rPr>
              <w:t>Management advice:</w:t>
            </w:r>
          </w:p>
          <w:p w14:paraId="5DF02FBC" w14:textId="77777777" w:rsidR="00156A25" w:rsidRPr="00B307EE" w:rsidRDefault="00156A25" w:rsidP="006C30C7">
            <w:pPr>
              <w:pStyle w:val="ListParagraph"/>
              <w:numPr>
                <w:ilvl w:val="0"/>
                <w:numId w:val="0"/>
              </w:numPr>
              <w:spacing w:line="240" w:lineRule="auto"/>
              <w:ind w:left="720"/>
              <w:jc w:val="left"/>
              <w:rPr>
                <w:color w:val="44546A" w:themeColor="text2"/>
                <w:sz w:val="20"/>
                <w:szCs w:val="20"/>
              </w:rPr>
            </w:pPr>
          </w:p>
        </w:tc>
      </w:tr>
    </w:tbl>
    <w:p w14:paraId="3683D59C" w14:textId="77777777" w:rsidR="00156A25" w:rsidRPr="00E302DC" w:rsidRDefault="00156A25" w:rsidP="00156A25">
      <w:pPr>
        <w:rPr>
          <w:b/>
          <w:bCs/>
        </w:rPr>
      </w:pPr>
    </w:p>
    <w:tbl>
      <w:tblPr>
        <w:tblStyle w:val="TableGrid"/>
        <w:tblW w:w="10201" w:type="dxa"/>
        <w:tblCellMar>
          <w:top w:w="113" w:type="dxa"/>
          <w:bottom w:w="113" w:type="dxa"/>
        </w:tblCellMar>
        <w:tblLook w:val="04A0" w:firstRow="1" w:lastRow="0" w:firstColumn="1" w:lastColumn="0" w:noHBand="0" w:noVBand="1"/>
      </w:tblPr>
      <w:tblGrid>
        <w:gridCol w:w="2405"/>
        <w:gridCol w:w="2693"/>
        <w:gridCol w:w="2410"/>
        <w:gridCol w:w="2693"/>
      </w:tblGrid>
      <w:tr w:rsidR="00156A25" w14:paraId="13A5534B" w14:textId="77777777" w:rsidTr="006C30C7">
        <w:trPr>
          <w:trHeight w:val="409"/>
        </w:trPr>
        <w:tc>
          <w:tcPr>
            <w:tcW w:w="2405" w:type="dxa"/>
            <w:shd w:val="clear" w:color="auto" w:fill="A5A5A5" w:themeFill="accent3"/>
            <w:vAlign w:val="center"/>
          </w:tcPr>
          <w:p w14:paraId="7AA69703" w14:textId="51C3DD8F" w:rsidR="00156A25" w:rsidRPr="00E302DC" w:rsidRDefault="00156A25" w:rsidP="006C30C7">
            <w:pPr>
              <w:rPr>
                <w:b/>
                <w:bCs/>
                <w:color w:val="FFFFFF" w:themeColor="background1"/>
              </w:rPr>
            </w:pPr>
            <w:r>
              <w:rPr>
                <w:b/>
                <w:bCs/>
                <w:color w:val="FFFFFF" w:themeColor="background1"/>
              </w:rPr>
              <w:t>N</w:t>
            </w:r>
            <w:r w:rsidRPr="00E302DC">
              <w:rPr>
                <w:b/>
                <w:bCs/>
                <w:color w:val="FFFFFF" w:themeColor="background1"/>
              </w:rPr>
              <w:t xml:space="preserve">ame </w:t>
            </w:r>
            <w:r>
              <w:rPr>
                <w:b/>
                <w:bCs/>
                <w:color w:val="FFFFFF" w:themeColor="background1"/>
              </w:rPr>
              <w:t>E</w:t>
            </w:r>
            <w:r w:rsidRPr="00E302DC">
              <w:rPr>
                <w:b/>
                <w:bCs/>
                <w:color w:val="FFFFFF" w:themeColor="background1"/>
              </w:rPr>
              <w:t>mployee</w:t>
            </w:r>
          </w:p>
        </w:tc>
        <w:tc>
          <w:tcPr>
            <w:tcW w:w="2693" w:type="dxa"/>
          </w:tcPr>
          <w:p w14:paraId="63FC4A05" w14:textId="77777777" w:rsidR="00156A25" w:rsidRDefault="00156A25" w:rsidP="006C30C7"/>
        </w:tc>
        <w:tc>
          <w:tcPr>
            <w:tcW w:w="2410" w:type="dxa"/>
            <w:shd w:val="clear" w:color="auto" w:fill="A5A5A5" w:themeFill="accent3"/>
            <w:vAlign w:val="center"/>
          </w:tcPr>
          <w:p w14:paraId="60B08C70" w14:textId="6C12567B" w:rsidR="00156A25" w:rsidRPr="00E302DC" w:rsidRDefault="00156A25" w:rsidP="006C30C7">
            <w:pPr>
              <w:rPr>
                <w:b/>
                <w:bCs/>
                <w:color w:val="FFFFFF" w:themeColor="background1"/>
              </w:rPr>
            </w:pPr>
            <w:r>
              <w:rPr>
                <w:b/>
                <w:bCs/>
                <w:color w:val="FFFFFF" w:themeColor="background1"/>
              </w:rPr>
              <w:t>Name Manager</w:t>
            </w:r>
          </w:p>
        </w:tc>
        <w:tc>
          <w:tcPr>
            <w:tcW w:w="2693" w:type="dxa"/>
          </w:tcPr>
          <w:p w14:paraId="700890BB" w14:textId="77777777" w:rsidR="00156A25" w:rsidRPr="00F33C92" w:rsidRDefault="00156A25" w:rsidP="006C30C7"/>
        </w:tc>
      </w:tr>
      <w:tr w:rsidR="00156A25" w14:paraId="2EEB507C" w14:textId="77777777" w:rsidTr="006C30C7">
        <w:trPr>
          <w:trHeight w:val="428"/>
        </w:trPr>
        <w:tc>
          <w:tcPr>
            <w:tcW w:w="2405" w:type="dxa"/>
            <w:shd w:val="clear" w:color="auto" w:fill="A5A5A5" w:themeFill="accent3"/>
            <w:vAlign w:val="center"/>
          </w:tcPr>
          <w:p w14:paraId="48791360" w14:textId="3B668A7C" w:rsidR="00156A25" w:rsidRPr="00E302DC" w:rsidRDefault="00156A25" w:rsidP="006C30C7">
            <w:pPr>
              <w:rPr>
                <w:b/>
                <w:bCs/>
                <w:color w:val="FFFFFF" w:themeColor="background1"/>
              </w:rPr>
            </w:pPr>
            <w:r>
              <w:rPr>
                <w:b/>
                <w:bCs/>
                <w:color w:val="FFFFFF" w:themeColor="background1"/>
              </w:rPr>
              <w:t>Date Completed</w:t>
            </w:r>
          </w:p>
        </w:tc>
        <w:tc>
          <w:tcPr>
            <w:tcW w:w="2693" w:type="dxa"/>
          </w:tcPr>
          <w:p w14:paraId="67E92D61" w14:textId="77777777" w:rsidR="00156A25" w:rsidRDefault="00156A25" w:rsidP="006C30C7"/>
        </w:tc>
        <w:tc>
          <w:tcPr>
            <w:tcW w:w="2410" w:type="dxa"/>
            <w:shd w:val="clear" w:color="auto" w:fill="A5A5A5" w:themeFill="accent3"/>
            <w:vAlign w:val="center"/>
          </w:tcPr>
          <w:p w14:paraId="777EC477" w14:textId="0F225981" w:rsidR="00156A25" w:rsidRPr="00E302DC" w:rsidRDefault="00156A25" w:rsidP="006C30C7">
            <w:pPr>
              <w:rPr>
                <w:b/>
                <w:bCs/>
                <w:color w:val="FFFFFF" w:themeColor="background1"/>
              </w:rPr>
            </w:pPr>
            <w:r>
              <w:rPr>
                <w:b/>
                <w:bCs/>
                <w:color w:val="FFFFFF" w:themeColor="background1"/>
              </w:rPr>
              <w:t>Date for Re</w:t>
            </w:r>
            <w:r w:rsidR="001A0370">
              <w:rPr>
                <w:b/>
                <w:bCs/>
                <w:color w:val="FFFFFF" w:themeColor="background1"/>
              </w:rPr>
              <w:t>v</w:t>
            </w:r>
            <w:r>
              <w:rPr>
                <w:b/>
                <w:bCs/>
                <w:color w:val="FFFFFF" w:themeColor="background1"/>
              </w:rPr>
              <w:t>iew:</w:t>
            </w:r>
          </w:p>
        </w:tc>
        <w:tc>
          <w:tcPr>
            <w:tcW w:w="2693" w:type="dxa"/>
          </w:tcPr>
          <w:p w14:paraId="55440E74" w14:textId="77777777" w:rsidR="00156A25" w:rsidRPr="00F33C92" w:rsidRDefault="00156A25" w:rsidP="006C30C7"/>
        </w:tc>
      </w:tr>
    </w:tbl>
    <w:p w14:paraId="59339D88" w14:textId="77777777" w:rsidR="00156A25" w:rsidRDefault="00156A25" w:rsidP="001A0370"/>
    <w:sectPr w:rsidR="00156A25" w:rsidSect="00156A25">
      <w:pgSz w:w="12240" w:h="15840"/>
      <w:pgMar w:top="6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B7458" w14:textId="77777777" w:rsidR="00272E8E" w:rsidRDefault="00272E8E" w:rsidP="00F647F1">
      <w:pPr>
        <w:spacing w:after="0" w:line="240" w:lineRule="auto"/>
      </w:pPr>
      <w:r>
        <w:separator/>
      </w:r>
    </w:p>
  </w:endnote>
  <w:endnote w:type="continuationSeparator" w:id="0">
    <w:p w14:paraId="5E721A33" w14:textId="77777777" w:rsidR="00272E8E" w:rsidRDefault="00272E8E" w:rsidP="00F64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64CBA" w14:textId="77777777" w:rsidR="00272E8E" w:rsidRDefault="00272E8E" w:rsidP="00F647F1">
      <w:pPr>
        <w:spacing w:after="0" w:line="240" w:lineRule="auto"/>
      </w:pPr>
      <w:r>
        <w:separator/>
      </w:r>
    </w:p>
  </w:footnote>
  <w:footnote w:type="continuationSeparator" w:id="0">
    <w:p w14:paraId="315F00FB" w14:textId="77777777" w:rsidR="00272E8E" w:rsidRDefault="00272E8E" w:rsidP="00F647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33.75pt" o:bullet="t">
        <v:imagedata r:id="rId1" o:title="Bullet-Point"/>
      </v:shape>
    </w:pict>
  </w:numPicBullet>
  <w:abstractNum w:abstractNumId="0" w15:restartNumberingAfterBreak="0">
    <w:nsid w:val="37BB4838"/>
    <w:multiLevelType w:val="multilevel"/>
    <w:tmpl w:val="96BE860E"/>
    <w:lvl w:ilvl="0">
      <w:start w:val="1"/>
      <w:numFmt w:val="bullet"/>
      <w:pStyle w:val="ListParagraph"/>
      <w:lvlText w:val=""/>
      <w:lvlPicBulletId w:val="0"/>
      <w:lvlJc w:val="left"/>
      <w:pPr>
        <w:ind w:left="360" w:hanging="360"/>
      </w:pPr>
      <w:rPr>
        <w:rFonts w:ascii="Symbol" w:hAnsi="Symbol" w:hint="default"/>
        <w:color w:val="auto"/>
      </w:rPr>
    </w:lvl>
    <w:lvl w:ilvl="1">
      <w:start w:val="1"/>
      <w:numFmt w:val="bullet"/>
      <w:lvlText w:val=""/>
      <w:lvlPicBulletId w:val="0"/>
      <w:lvlJc w:val="left"/>
      <w:pPr>
        <w:ind w:left="720" w:hanging="360"/>
      </w:pPr>
      <w:rPr>
        <w:rFonts w:ascii="Symbol" w:hAnsi="Symbol" w:hint="default"/>
        <w:color w:val="auto"/>
      </w:rPr>
    </w:lvl>
    <w:lvl w:ilvl="2">
      <w:start w:val="1"/>
      <w:numFmt w:val="bullet"/>
      <w:lvlText w:val=""/>
      <w:lvlPicBulletId w:val="0"/>
      <w:lvlJc w:val="left"/>
      <w:pPr>
        <w:ind w:left="1080" w:hanging="360"/>
      </w:pPr>
      <w:rPr>
        <w:rFonts w:ascii="Symbol" w:hAnsi="Symbol" w:hint="default"/>
        <w:color w:val="auto"/>
      </w:rPr>
    </w:lvl>
    <w:lvl w:ilvl="3">
      <w:start w:val="1"/>
      <w:numFmt w:val="bullet"/>
      <w:lvlText w:val=""/>
      <w:lvlPicBulletId w:val="0"/>
      <w:lvlJc w:val="left"/>
      <w:pPr>
        <w:ind w:left="1440" w:hanging="360"/>
      </w:pPr>
      <w:rPr>
        <w:rFonts w:ascii="Symbol" w:hAnsi="Symbol" w:hint="default"/>
        <w:color w:val="auto"/>
      </w:rPr>
    </w:lvl>
    <w:lvl w:ilvl="4">
      <w:start w:val="1"/>
      <w:numFmt w:val="bullet"/>
      <w:lvlText w:val=""/>
      <w:lvlPicBulletId w:val="0"/>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73F"/>
    <w:rsid w:val="00156A25"/>
    <w:rsid w:val="00170D05"/>
    <w:rsid w:val="001A0370"/>
    <w:rsid w:val="00272E8E"/>
    <w:rsid w:val="003C08B4"/>
    <w:rsid w:val="003E1D06"/>
    <w:rsid w:val="0051273F"/>
    <w:rsid w:val="00521F30"/>
    <w:rsid w:val="00560821"/>
    <w:rsid w:val="005767E5"/>
    <w:rsid w:val="007C3F82"/>
    <w:rsid w:val="007D58A0"/>
    <w:rsid w:val="00883243"/>
    <w:rsid w:val="008851DF"/>
    <w:rsid w:val="008C0F4E"/>
    <w:rsid w:val="00942368"/>
    <w:rsid w:val="00B62C5C"/>
    <w:rsid w:val="00F53735"/>
    <w:rsid w:val="00F53B6C"/>
    <w:rsid w:val="00F647F1"/>
    <w:rsid w:val="00FF0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A7BA1"/>
  <w15:chartTrackingRefBased/>
  <w15:docId w15:val="{00A18CE7-DDB9-4115-84FC-B05F6CB2C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73F"/>
    <w:rPr>
      <w:rFonts w:asciiTheme="minorHAnsi" w:hAnsiTheme="minorHAnsi" w:cstheme="minorBid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1F30"/>
    <w:pPr>
      <w:spacing w:after="0" w:line="240" w:lineRule="auto"/>
    </w:pPr>
    <w:rPr>
      <w:rFonts w:asciiTheme="minorHAnsi" w:hAnsiTheme="minorHAnsi" w:cstheme="minorBidi"/>
      <w:lang w:val="en-GB"/>
    </w:rPr>
  </w:style>
  <w:style w:type="character" w:styleId="Hyperlink">
    <w:name w:val="Hyperlink"/>
    <w:basedOn w:val="DefaultParagraphFont"/>
    <w:uiPriority w:val="99"/>
    <w:unhideWhenUsed/>
    <w:rsid w:val="00170D05"/>
    <w:rPr>
      <w:color w:val="0563C1" w:themeColor="hyperlink"/>
      <w:u w:val="single"/>
    </w:rPr>
  </w:style>
  <w:style w:type="character" w:styleId="UnresolvedMention">
    <w:name w:val="Unresolved Mention"/>
    <w:basedOn w:val="DefaultParagraphFont"/>
    <w:uiPriority w:val="99"/>
    <w:semiHidden/>
    <w:unhideWhenUsed/>
    <w:rsid w:val="00170D05"/>
    <w:rPr>
      <w:color w:val="808080"/>
      <w:shd w:val="clear" w:color="auto" w:fill="E6E6E6"/>
    </w:rPr>
  </w:style>
  <w:style w:type="character" w:styleId="FollowedHyperlink">
    <w:name w:val="FollowedHyperlink"/>
    <w:basedOn w:val="DefaultParagraphFont"/>
    <w:uiPriority w:val="99"/>
    <w:semiHidden/>
    <w:unhideWhenUsed/>
    <w:rsid w:val="00560821"/>
    <w:rPr>
      <w:color w:val="954F72" w:themeColor="followedHyperlink"/>
      <w:u w:val="single"/>
    </w:rPr>
  </w:style>
  <w:style w:type="paragraph" w:customStyle="1" w:styleId="Preface">
    <w:name w:val="Preface"/>
    <w:basedOn w:val="Normal"/>
    <w:qFormat/>
    <w:rsid w:val="003C08B4"/>
    <w:rPr>
      <w:rFonts w:ascii="Trebuchet MS" w:hAnsi="Trebuchet MS"/>
      <w:color w:val="A5A5A5" w:themeColor="accent3"/>
    </w:rPr>
  </w:style>
  <w:style w:type="paragraph" w:customStyle="1" w:styleId="Subheader">
    <w:name w:val="Subheader"/>
    <w:basedOn w:val="Normal"/>
    <w:qFormat/>
    <w:rsid w:val="003C08B4"/>
    <w:rPr>
      <w:rFonts w:ascii="Trebuchet MS" w:hAnsi="Trebuchet MS"/>
      <w:b/>
      <w:bCs/>
    </w:rPr>
  </w:style>
  <w:style w:type="paragraph" w:styleId="ListParagraph">
    <w:name w:val="List Paragraph"/>
    <w:basedOn w:val="Normal"/>
    <w:uiPriority w:val="34"/>
    <w:qFormat/>
    <w:rsid w:val="00156A25"/>
    <w:pPr>
      <w:numPr>
        <w:numId w:val="1"/>
      </w:numPr>
      <w:spacing w:after="0" w:line="360" w:lineRule="auto"/>
      <w:contextualSpacing/>
      <w:jc w:val="both"/>
    </w:pPr>
    <w:rPr>
      <w:rFonts w:ascii="Trebuchet MS" w:hAnsi="Trebuchet MS" w:cstheme="majorBidi"/>
    </w:rPr>
  </w:style>
  <w:style w:type="table" w:styleId="TableGrid">
    <w:name w:val="Table Grid"/>
    <w:basedOn w:val="TableNormal"/>
    <w:uiPriority w:val="39"/>
    <w:rsid w:val="00156A25"/>
    <w:pPr>
      <w:spacing w:after="0" w:line="240" w:lineRule="auto"/>
    </w:pPr>
    <w:rPr>
      <w:rFonts w:ascii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56A2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ristol.ac.uk/media-library/sites/hr/documents/policy/absence-and-health-management/WAP-guide-for-staff-nov-2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AD7F0A5C3E684590F05A19744DFC24" ma:contentTypeVersion="8" ma:contentTypeDescription="Create a new document." ma:contentTypeScope="" ma:versionID="f2d8ff2cfb456521776bea6e62d6ea6e">
  <xsd:schema xmlns:xsd="http://www.w3.org/2001/XMLSchema" xmlns:xs="http://www.w3.org/2001/XMLSchema" xmlns:p="http://schemas.microsoft.com/office/2006/metadata/properties" xmlns:ns2="d26ae809-68a9-408d-92e2-9aa77a75934c" xmlns:ns3="11f5328b-2e4d-488e-be64-79555db84166" targetNamespace="http://schemas.microsoft.com/office/2006/metadata/properties" ma:root="true" ma:fieldsID="856b03c797abeb69404c62c7a3114ed8" ns2:_="" ns3:_="">
    <xsd:import namespace="d26ae809-68a9-408d-92e2-9aa77a75934c"/>
    <xsd:import namespace="11f5328b-2e4d-488e-be64-79555db841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ae809-68a9-408d-92e2-9aa77a759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f5328b-2e4d-488e-be64-79555db841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01F77-B771-40EF-825A-37E0C0D8906B}">
  <ds:schemaRefs>
    <ds:schemaRef ds:uri="http://schemas.microsoft.com/sharepoint/v3/contenttype/forms"/>
  </ds:schemaRefs>
</ds:datastoreItem>
</file>

<file path=customXml/itemProps2.xml><?xml version="1.0" encoding="utf-8"?>
<ds:datastoreItem xmlns:ds="http://schemas.openxmlformats.org/officeDocument/2006/customXml" ds:itemID="{EE41669A-488D-4BD8-890B-7C76680541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D75375-2E2C-4529-BF7F-B0E17A7D4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ae809-68a9-408d-92e2-9aa77a75934c"/>
    <ds:schemaRef ds:uri="11f5328b-2e4d-488e-be64-79555db84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Brunnock</dc:creator>
  <cp:keywords/>
  <dc:description/>
  <cp:lastModifiedBy>Jon Laurence</cp:lastModifiedBy>
  <cp:revision>7</cp:revision>
  <dcterms:created xsi:type="dcterms:W3CDTF">2021-10-13T11:26:00Z</dcterms:created>
  <dcterms:modified xsi:type="dcterms:W3CDTF">2021-11-18T12:26:00Z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0x0101006DAD7F0A5C3E684590F05A19744DFC24</vt:lpwstr>
  </property>
</Properties>
</file>