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9D61D" w14:textId="0BF3C6F5" w:rsidR="00720330" w:rsidRPr="008170B3" w:rsidRDefault="00927A98" w:rsidP="008170B3">
      <w:pPr>
        <w:jc w:val="center"/>
        <w:rPr>
          <w:rFonts w:cs="Arial"/>
          <w:b/>
        </w:rPr>
      </w:pPr>
      <w:r w:rsidRPr="008170B3">
        <w:rPr>
          <w:rFonts w:cs="Arial"/>
          <w:b/>
        </w:rPr>
        <w:t>Report for the Northern Powerhouse Partnership on Adjusted Progress 8</w:t>
      </w:r>
      <w:r w:rsidR="004F022A">
        <w:rPr>
          <w:rFonts w:cs="Arial"/>
          <w:b/>
        </w:rPr>
        <w:t xml:space="preserve"> (2018-2019)</w:t>
      </w:r>
    </w:p>
    <w:p w14:paraId="51A80AAC" w14:textId="77777777" w:rsidR="00E009F9" w:rsidRPr="008170B3" w:rsidRDefault="00E009F9" w:rsidP="008170B3">
      <w:pPr>
        <w:jc w:val="center"/>
        <w:rPr>
          <w:rFonts w:cs="Arial"/>
        </w:rPr>
      </w:pPr>
      <w:r w:rsidRPr="008170B3">
        <w:rPr>
          <w:rFonts w:cs="Arial"/>
        </w:rPr>
        <w:t>George Leckie and Lucy Prior, Centre for Multilevel Modelling, University of Bristol</w:t>
      </w:r>
    </w:p>
    <w:p w14:paraId="36AE5728" w14:textId="77777777" w:rsidR="00E009F9" w:rsidRPr="008170B3" w:rsidRDefault="00CB52F0" w:rsidP="008170B3">
      <w:pPr>
        <w:jc w:val="center"/>
        <w:rPr>
          <w:rFonts w:cs="Arial"/>
        </w:rPr>
      </w:pPr>
      <w:r>
        <w:rPr>
          <w:rFonts w:cs="Arial"/>
        </w:rPr>
        <w:t>13</w:t>
      </w:r>
      <w:r w:rsidR="00FB222E">
        <w:rPr>
          <w:rFonts w:cs="Arial"/>
        </w:rPr>
        <w:t>th</w:t>
      </w:r>
      <w:r w:rsidR="0032708F">
        <w:rPr>
          <w:rFonts w:cs="Arial"/>
        </w:rPr>
        <w:t xml:space="preserve"> October</w:t>
      </w:r>
      <w:r w:rsidR="00A15DC2">
        <w:rPr>
          <w:rFonts w:cs="Arial"/>
        </w:rPr>
        <w:t xml:space="preserve"> 2020</w:t>
      </w:r>
    </w:p>
    <w:p w14:paraId="595257DF" w14:textId="77777777" w:rsidR="00927A98" w:rsidRPr="008170B3" w:rsidRDefault="00927A98" w:rsidP="00927A98">
      <w:pPr>
        <w:rPr>
          <w:rFonts w:cs="Arial"/>
          <w:b/>
        </w:rPr>
      </w:pPr>
      <w:r w:rsidRPr="008170B3">
        <w:rPr>
          <w:rFonts w:cs="Arial"/>
          <w:b/>
        </w:rPr>
        <w:t>About the research</w:t>
      </w:r>
    </w:p>
    <w:p w14:paraId="4701E4A5" w14:textId="77777777" w:rsidR="00927A98" w:rsidRPr="00267A5A" w:rsidRDefault="00927A98" w:rsidP="00927A98">
      <w:pPr>
        <w:pStyle w:val="ListParagraph"/>
        <w:numPr>
          <w:ilvl w:val="0"/>
          <w:numId w:val="1"/>
        </w:numPr>
        <w:spacing w:line="240" w:lineRule="auto"/>
        <w:rPr>
          <w:rFonts w:cs="Arial"/>
        </w:rPr>
      </w:pPr>
      <w:r w:rsidRPr="00267A5A">
        <w:rPr>
          <w:rFonts w:cs="Arial"/>
        </w:rPr>
        <w:t xml:space="preserve">Progress 8 is the Department for Education’s (DfE) headline measure of the average academic progress pupils make in each school over secondary schooling. The measure adjusts pupil’s GCSE results for their end of primary schooling Key Stage 2 </w:t>
      </w:r>
      <w:r w:rsidR="006B1529" w:rsidRPr="00267A5A">
        <w:rPr>
          <w:rFonts w:cs="Arial"/>
        </w:rPr>
        <w:t xml:space="preserve">(KS2) </w:t>
      </w:r>
      <w:r w:rsidRPr="00267A5A">
        <w:rPr>
          <w:rFonts w:cs="Arial"/>
        </w:rPr>
        <w:t>test results.</w:t>
      </w:r>
    </w:p>
    <w:p w14:paraId="2EAD7797" w14:textId="77777777" w:rsidR="00927A98" w:rsidRPr="00267A5A" w:rsidRDefault="00927A98" w:rsidP="00927A98">
      <w:pPr>
        <w:pStyle w:val="ListParagraph"/>
        <w:spacing w:after="0" w:line="240" w:lineRule="auto"/>
        <w:rPr>
          <w:rFonts w:cs="Arial"/>
        </w:rPr>
      </w:pPr>
    </w:p>
    <w:p w14:paraId="4FD1BA0A" w14:textId="77777777" w:rsidR="00927A98" w:rsidRPr="00267A5A" w:rsidRDefault="00927A98" w:rsidP="00927A98">
      <w:pPr>
        <w:pStyle w:val="ListParagraph"/>
        <w:numPr>
          <w:ilvl w:val="0"/>
          <w:numId w:val="1"/>
        </w:numPr>
        <w:spacing w:line="240" w:lineRule="auto"/>
        <w:rPr>
          <w:rFonts w:cs="Arial"/>
        </w:rPr>
      </w:pPr>
      <w:r w:rsidRPr="00267A5A">
        <w:rPr>
          <w:rFonts w:cs="Arial"/>
        </w:rPr>
        <w:t>The DfE and Ofsted both rely heavily on Progress 8 to hold schools to account.</w:t>
      </w:r>
    </w:p>
    <w:p w14:paraId="3BDAF7D6" w14:textId="77777777" w:rsidR="00927A98" w:rsidRPr="00267A5A" w:rsidRDefault="00927A98" w:rsidP="00927A98">
      <w:pPr>
        <w:spacing w:after="0" w:line="240" w:lineRule="auto"/>
        <w:rPr>
          <w:rFonts w:cs="Arial"/>
        </w:rPr>
      </w:pPr>
    </w:p>
    <w:p w14:paraId="5A629D4A" w14:textId="77777777" w:rsidR="00927A98" w:rsidRPr="00267A5A" w:rsidRDefault="00927A98" w:rsidP="00927A98">
      <w:pPr>
        <w:pStyle w:val="ListParagraph"/>
        <w:numPr>
          <w:ilvl w:val="0"/>
          <w:numId w:val="1"/>
        </w:numPr>
        <w:spacing w:line="240" w:lineRule="auto"/>
        <w:rPr>
          <w:rFonts w:cs="Arial"/>
        </w:rPr>
      </w:pPr>
      <w:r w:rsidRPr="00267A5A">
        <w:rPr>
          <w:rFonts w:cs="Arial"/>
        </w:rPr>
        <w:t>The DfE argue that Progress 8 is a fair measure as it accounts for school intake attainment d</w:t>
      </w:r>
      <w:r w:rsidR="006B1529" w:rsidRPr="00267A5A">
        <w:rPr>
          <w:rFonts w:cs="Arial"/>
        </w:rPr>
        <w:t>ifferences in pupils’ KS</w:t>
      </w:r>
      <w:r w:rsidRPr="00267A5A">
        <w:rPr>
          <w:rFonts w:cs="Arial"/>
        </w:rPr>
        <w:t>2 test scores. However, Progress 8 ignores school intake differences in all other pupil background characteristics, yet these also predict why some schools score higher at GCSE than others.</w:t>
      </w:r>
    </w:p>
    <w:p w14:paraId="143903D7" w14:textId="77777777" w:rsidR="00927A98" w:rsidRPr="00267A5A" w:rsidRDefault="00927A98" w:rsidP="00927A98">
      <w:pPr>
        <w:spacing w:after="0" w:line="240" w:lineRule="auto"/>
        <w:rPr>
          <w:rFonts w:cs="Arial"/>
        </w:rPr>
      </w:pPr>
    </w:p>
    <w:p w14:paraId="6A550E6B" w14:textId="77777777" w:rsidR="00927A98" w:rsidRPr="00267A5A" w:rsidRDefault="00927A98" w:rsidP="00927A98">
      <w:pPr>
        <w:pStyle w:val="ListParagraph"/>
        <w:numPr>
          <w:ilvl w:val="0"/>
          <w:numId w:val="1"/>
        </w:numPr>
        <w:spacing w:line="240" w:lineRule="auto"/>
        <w:rPr>
          <w:rFonts w:cs="Arial"/>
        </w:rPr>
      </w:pPr>
      <w:r w:rsidRPr="00267A5A">
        <w:rPr>
          <w:rFonts w:cs="Arial"/>
        </w:rPr>
        <w:t xml:space="preserve">The DfE’s decision to ignore pupil background when comparing schools is in stark contrast to both the academic literature and practitioner commentaries, both of which argue that such adjustments should be made when holding schools to account. </w:t>
      </w:r>
    </w:p>
    <w:p w14:paraId="5C170B5E" w14:textId="77777777" w:rsidR="00927A98" w:rsidRPr="00267A5A" w:rsidRDefault="00927A98" w:rsidP="00927A98">
      <w:pPr>
        <w:spacing w:after="0" w:line="240" w:lineRule="auto"/>
        <w:rPr>
          <w:rFonts w:cs="Arial"/>
        </w:rPr>
      </w:pPr>
    </w:p>
    <w:p w14:paraId="7B1BEF95" w14:textId="77777777" w:rsidR="00927A98" w:rsidRPr="00267A5A" w:rsidRDefault="00927A98" w:rsidP="00927A98">
      <w:pPr>
        <w:pStyle w:val="ListParagraph"/>
        <w:numPr>
          <w:ilvl w:val="0"/>
          <w:numId w:val="1"/>
        </w:numPr>
        <w:spacing w:line="240" w:lineRule="auto"/>
        <w:rPr>
          <w:rFonts w:cs="Arial"/>
        </w:rPr>
      </w:pPr>
      <w:r w:rsidRPr="00267A5A">
        <w:rPr>
          <w:rFonts w:cs="Arial"/>
        </w:rPr>
        <w:t>This research compared the DfE’s 20</w:t>
      </w:r>
      <w:r w:rsidR="00A15DC2">
        <w:rPr>
          <w:rFonts w:cs="Arial"/>
        </w:rPr>
        <w:t>19</w:t>
      </w:r>
      <w:r w:rsidRPr="00267A5A">
        <w:rPr>
          <w:rFonts w:cs="Arial"/>
        </w:rPr>
        <w:t xml:space="preserve"> Progress 8 measure with an ‘Adjusted Progress 8’ version which accounts for pupil age, gender, ethnicity, English as an additional language</w:t>
      </w:r>
      <w:r w:rsidR="00AD5AD8" w:rsidRPr="00267A5A">
        <w:rPr>
          <w:rFonts w:cs="Arial"/>
        </w:rPr>
        <w:t xml:space="preserve"> (EAL)</w:t>
      </w:r>
      <w:r w:rsidRPr="00267A5A">
        <w:rPr>
          <w:rFonts w:cs="Arial"/>
        </w:rPr>
        <w:t>, special educational needs</w:t>
      </w:r>
      <w:r w:rsidR="006B1529" w:rsidRPr="00267A5A">
        <w:rPr>
          <w:rFonts w:cs="Arial"/>
        </w:rPr>
        <w:t xml:space="preserve"> (SEN)</w:t>
      </w:r>
      <w:r w:rsidRPr="00267A5A">
        <w:rPr>
          <w:rFonts w:cs="Arial"/>
        </w:rPr>
        <w:t>, free school meal status</w:t>
      </w:r>
      <w:r w:rsidR="006B1529" w:rsidRPr="00267A5A">
        <w:rPr>
          <w:rFonts w:cs="Arial"/>
        </w:rPr>
        <w:t xml:space="preserve"> (FSM)</w:t>
      </w:r>
      <w:r w:rsidRPr="00267A5A">
        <w:rPr>
          <w:rFonts w:cs="Arial"/>
        </w:rPr>
        <w:t xml:space="preserve">, and residential deprivation. </w:t>
      </w:r>
    </w:p>
    <w:p w14:paraId="79C3308B" w14:textId="77777777" w:rsidR="00927A98" w:rsidRPr="00267A5A" w:rsidRDefault="00927A98" w:rsidP="00927A98">
      <w:pPr>
        <w:spacing w:after="0" w:line="240" w:lineRule="auto"/>
        <w:rPr>
          <w:rFonts w:cs="Arial"/>
        </w:rPr>
      </w:pPr>
    </w:p>
    <w:p w14:paraId="502A49CB" w14:textId="77777777" w:rsidR="00927A98" w:rsidRPr="00267A5A" w:rsidRDefault="00927A98" w:rsidP="00927A98">
      <w:pPr>
        <w:pStyle w:val="ListParagraph"/>
        <w:numPr>
          <w:ilvl w:val="0"/>
          <w:numId w:val="1"/>
        </w:numPr>
        <w:spacing w:line="240" w:lineRule="auto"/>
        <w:rPr>
          <w:rFonts w:cs="Arial"/>
        </w:rPr>
      </w:pPr>
      <w:r w:rsidRPr="00267A5A">
        <w:rPr>
          <w:rFonts w:cs="Arial"/>
        </w:rPr>
        <w:t xml:space="preserve">The results show that schools’ Progress 8 scores, differences in average scores between regions and for different school types all change dramatically once adjustments are made for pupil background. This leads to very different interpretations and conclusions about both individual schools and educational differences. </w:t>
      </w:r>
    </w:p>
    <w:p w14:paraId="015DCFFC" w14:textId="77777777" w:rsidR="004151DE" w:rsidRPr="00267A5A" w:rsidRDefault="004151DE" w:rsidP="004151DE">
      <w:pPr>
        <w:pStyle w:val="ListParagraph"/>
        <w:rPr>
          <w:rFonts w:cs="Arial"/>
        </w:rPr>
      </w:pPr>
    </w:p>
    <w:p w14:paraId="0700A4DB" w14:textId="77777777" w:rsidR="004151DE" w:rsidRPr="00267A5A" w:rsidRDefault="004D1A8C" w:rsidP="004D1A8C">
      <w:pPr>
        <w:spacing w:line="240" w:lineRule="auto"/>
        <w:rPr>
          <w:rFonts w:cs="Arial"/>
          <w:b/>
        </w:rPr>
      </w:pPr>
      <w:r w:rsidRPr="00267A5A">
        <w:rPr>
          <w:rFonts w:cs="Arial"/>
          <w:b/>
        </w:rPr>
        <w:t xml:space="preserve">Analysis </w:t>
      </w:r>
    </w:p>
    <w:p w14:paraId="3EC122C7" w14:textId="77777777" w:rsidR="004D1A8C" w:rsidRPr="00267A5A" w:rsidRDefault="00837C96" w:rsidP="004D1A8C">
      <w:pPr>
        <w:pStyle w:val="ListParagraph"/>
        <w:numPr>
          <w:ilvl w:val="0"/>
          <w:numId w:val="1"/>
        </w:numPr>
        <w:spacing w:line="240" w:lineRule="auto"/>
        <w:rPr>
          <w:rFonts w:cs="Arial"/>
        </w:rPr>
      </w:pPr>
      <w:r w:rsidRPr="00267A5A">
        <w:rPr>
          <w:rFonts w:cs="Arial"/>
        </w:rPr>
        <w:t xml:space="preserve">The DfE Progress 8 scores are calculated as </w:t>
      </w:r>
      <w:r w:rsidR="004D1A8C" w:rsidRPr="00267A5A">
        <w:rPr>
          <w:rFonts w:cs="Arial"/>
        </w:rPr>
        <w:t>school average</w:t>
      </w:r>
      <w:r w:rsidRPr="00267A5A">
        <w:rPr>
          <w:rFonts w:cs="Arial"/>
        </w:rPr>
        <w:t>s of the</w:t>
      </w:r>
      <w:r w:rsidR="004D1A8C" w:rsidRPr="00267A5A">
        <w:rPr>
          <w:rFonts w:cs="Arial"/>
        </w:rPr>
        <w:t xml:space="preserve"> residuals from a </w:t>
      </w:r>
      <w:r w:rsidRPr="00267A5A">
        <w:rPr>
          <w:rFonts w:cs="Arial"/>
        </w:rPr>
        <w:t xml:space="preserve">linear </w:t>
      </w:r>
      <w:r w:rsidR="004D1A8C" w:rsidRPr="00267A5A">
        <w:rPr>
          <w:rFonts w:cs="Arial"/>
        </w:rPr>
        <w:t xml:space="preserve">regression </w:t>
      </w:r>
      <w:r w:rsidRPr="00267A5A">
        <w:rPr>
          <w:rFonts w:cs="Arial"/>
        </w:rPr>
        <w:t xml:space="preserve">of pupil Attainment 8 on pupil KS2 scores where pupil KS2 scores are entered into the regression as a series of </w:t>
      </w:r>
      <w:r w:rsidR="004D1A8C" w:rsidRPr="00267A5A">
        <w:rPr>
          <w:rFonts w:cs="Arial"/>
        </w:rPr>
        <w:t>34 dummy variables.</w:t>
      </w:r>
    </w:p>
    <w:p w14:paraId="125FFAA2" w14:textId="77777777" w:rsidR="004D1A8C" w:rsidRPr="00267A5A" w:rsidRDefault="004D1A8C" w:rsidP="004D1A8C">
      <w:pPr>
        <w:pStyle w:val="ListParagraph"/>
        <w:spacing w:line="240" w:lineRule="auto"/>
        <w:rPr>
          <w:rFonts w:cs="Arial"/>
        </w:rPr>
      </w:pPr>
    </w:p>
    <w:p w14:paraId="071EDBD7" w14:textId="77777777" w:rsidR="004D1A8C" w:rsidRDefault="00837C96" w:rsidP="004D1A8C">
      <w:pPr>
        <w:pStyle w:val="ListParagraph"/>
        <w:numPr>
          <w:ilvl w:val="0"/>
          <w:numId w:val="1"/>
        </w:numPr>
        <w:spacing w:line="240" w:lineRule="auto"/>
        <w:rPr>
          <w:rFonts w:cs="Arial"/>
        </w:rPr>
      </w:pPr>
      <w:r w:rsidRPr="00267A5A">
        <w:rPr>
          <w:rFonts w:cs="Arial"/>
        </w:rPr>
        <w:t xml:space="preserve">Our </w:t>
      </w:r>
      <w:r w:rsidR="004D1A8C" w:rsidRPr="00267A5A">
        <w:rPr>
          <w:rFonts w:cs="Arial"/>
        </w:rPr>
        <w:t xml:space="preserve">Adjusted Progress 8 </w:t>
      </w:r>
      <w:r w:rsidRPr="00267A5A">
        <w:rPr>
          <w:rFonts w:cs="Arial"/>
        </w:rPr>
        <w:t xml:space="preserve">measure </w:t>
      </w:r>
      <w:r w:rsidR="004D1A8C" w:rsidRPr="00267A5A">
        <w:rPr>
          <w:rFonts w:cs="Arial"/>
        </w:rPr>
        <w:t xml:space="preserve">extends this methodology by adding </w:t>
      </w:r>
      <w:r w:rsidRPr="00267A5A">
        <w:rPr>
          <w:rFonts w:cs="Arial"/>
        </w:rPr>
        <w:t xml:space="preserve">further </w:t>
      </w:r>
      <w:r w:rsidR="004D1A8C" w:rsidRPr="00267A5A">
        <w:rPr>
          <w:rFonts w:cs="Arial"/>
        </w:rPr>
        <w:t xml:space="preserve">dummy variables for pupil age, gender, ethnicity, </w:t>
      </w:r>
      <w:r w:rsidR="00AD5AD8" w:rsidRPr="00267A5A">
        <w:rPr>
          <w:rFonts w:cs="Arial"/>
        </w:rPr>
        <w:t>EAL, SEN</w:t>
      </w:r>
      <w:r w:rsidR="004D1A8C" w:rsidRPr="00267A5A">
        <w:rPr>
          <w:rFonts w:cs="Arial"/>
        </w:rPr>
        <w:t xml:space="preserve">, </w:t>
      </w:r>
      <w:r w:rsidR="00AD5AD8" w:rsidRPr="00267A5A">
        <w:rPr>
          <w:rFonts w:cs="Arial"/>
        </w:rPr>
        <w:t xml:space="preserve">FSM </w:t>
      </w:r>
      <w:r w:rsidR="004D1A8C" w:rsidRPr="00267A5A">
        <w:rPr>
          <w:rFonts w:cs="Arial"/>
        </w:rPr>
        <w:t xml:space="preserve">and residential deprivation. </w:t>
      </w:r>
      <w:r w:rsidRPr="00267A5A">
        <w:rPr>
          <w:rFonts w:cs="Arial"/>
        </w:rPr>
        <w:t>In doing so, t</w:t>
      </w:r>
      <w:r w:rsidR="004D1A8C" w:rsidRPr="00267A5A">
        <w:rPr>
          <w:rFonts w:cs="Arial"/>
        </w:rPr>
        <w:t xml:space="preserve">his </w:t>
      </w:r>
      <w:r w:rsidRPr="00267A5A">
        <w:rPr>
          <w:rFonts w:cs="Arial"/>
        </w:rPr>
        <w:t xml:space="preserve">more advanced </w:t>
      </w:r>
      <w:r w:rsidR="004D1A8C" w:rsidRPr="00267A5A">
        <w:rPr>
          <w:rFonts w:cs="Arial"/>
        </w:rPr>
        <w:t xml:space="preserve">measure statistically adjusts for existing national average differences in attainment by </w:t>
      </w:r>
      <w:r w:rsidRPr="00267A5A">
        <w:rPr>
          <w:rFonts w:cs="Arial"/>
        </w:rPr>
        <w:t xml:space="preserve">each of </w:t>
      </w:r>
      <w:r w:rsidR="004D1A8C" w:rsidRPr="00267A5A">
        <w:rPr>
          <w:rFonts w:cs="Arial"/>
        </w:rPr>
        <w:t>these pupil characteristics.</w:t>
      </w:r>
    </w:p>
    <w:p w14:paraId="45E4896B" w14:textId="77777777" w:rsidR="0032708F" w:rsidRPr="0032708F" w:rsidRDefault="0032708F" w:rsidP="0032708F">
      <w:pPr>
        <w:pStyle w:val="ListParagraph"/>
        <w:rPr>
          <w:rFonts w:cs="Arial"/>
        </w:rPr>
      </w:pPr>
    </w:p>
    <w:p w14:paraId="6B789E31" w14:textId="77777777" w:rsidR="0032708F" w:rsidRPr="00267A5A" w:rsidRDefault="00A15DC2" w:rsidP="004D1A8C">
      <w:pPr>
        <w:pStyle w:val="ListParagraph"/>
        <w:numPr>
          <w:ilvl w:val="0"/>
          <w:numId w:val="1"/>
        </w:numPr>
        <w:spacing w:line="240" w:lineRule="auto"/>
        <w:rPr>
          <w:rFonts w:cs="Arial"/>
        </w:rPr>
      </w:pPr>
      <w:r>
        <w:rPr>
          <w:rFonts w:cs="Arial"/>
        </w:rPr>
        <w:t>For 2019</w:t>
      </w:r>
      <w:r w:rsidR="0032708F">
        <w:rPr>
          <w:rFonts w:cs="Arial"/>
        </w:rPr>
        <w:t xml:space="preserve">, DfE modifies the Progress 8 scores of pupils with extreme negative values, replacing them with a minimum threshold value which is determined within each prior attainment group. We extend the approach to modify our Adjusted Progress 8 measure for extreme negative values. </w:t>
      </w:r>
    </w:p>
    <w:p w14:paraId="0D59B338" w14:textId="77777777" w:rsidR="00003A7B" w:rsidRPr="00267A5A" w:rsidRDefault="00003A7B" w:rsidP="00003A7B">
      <w:pPr>
        <w:spacing w:line="240" w:lineRule="auto"/>
        <w:rPr>
          <w:rFonts w:cs="Arial"/>
        </w:rPr>
      </w:pPr>
    </w:p>
    <w:p w14:paraId="453D10BC" w14:textId="77777777" w:rsidR="004D1A8C" w:rsidRPr="00267A5A" w:rsidRDefault="004D1A8C" w:rsidP="004D1A8C">
      <w:pPr>
        <w:spacing w:line="240" w:lineRule="auto"/>
        <w:rPr>
          <w:rFonts w:cs="Arial"/>
          <w:b/>
        </w:rPr>
      </w:pPr>
      <w:r w:rsidRPr="00267A5A">
        <w:rPr>
          <w:rFonts w:cs="Arial"/>
          <w:b/>
        </w:rPr>
        <w:lastRenderedPageBreak/>
        <w:t>Key findings</w:t>
      </w:r>
    </w:p>
    <w:p w14:paraId="52B7C846" w14:textId="77777777" w:rsidR="004D1A8C" w:rsidRPr="00267A5A" w:rsidRDefault="004D1A8C" w:rsidP="00927A98">
      <w:pPr>
        <w:pStyle w:val="ListParagraph"/>
        <w:numPr>
          <w:ilvl w:val="0"/>
          <w:numId w:val="1"/>
        </w:numPr>
        <w:spacing w:line="240" w:lineRule="auto"/>
        <w:rPr>
          <w:rFonts w:cs="Arial"/>
        </w:rPr>
      </w:pPr>
      <w:r w:rsidRPr="00267A5A">
        <w:rPr>
          <w:rFonts w:cs="Arial"/>
        </w:rPr>
        <w:t xml:space="preserve">Adjusting for pupil background would see the national league table rankings of </w:t>
      </w:r>
      <w:r w:rsidR="005E249C" w:rsidRPr="00267A5A">
        <w:rPr>
          <w:rFonts w:cs="Arial"/>
        </w:rPr>
        <w:t>a fifth</w:t>
      </w:r>
      <w:r w:rsidRPr="00267A5A">
        <w:rPr>
          <w:rFonts w:cs="Arial"/>
        </w:rPr>
        <w:t xml:space="preserve"> of schools change by over 500 places. </w:t>
      </w:r>
    </w:p>
    <w:p w14:paraId="6F8B064F" w14:textId="77777777" w:rsidR="00003A7B" w:rsidRPr="00267A5A" w:rsidRDefault="00003A7B" w:rsidP="00003A7B">
      <w:pPr>
        <w:pStyle w:val="ListParagraph"/>
        <w:spacing w:line="240" w:lineRule="auto"/>
        <w:rPr>
          <w:rFonts w:cs="Arial"/>
        </w:rPr>
      </w:pPr>
    </w:p>
    <w:p w14:paraId="437DFF95" w14:textId="4BE98FE6" w:rsidR="00E009F9" w:rsidRPr="00267A5A" w:rsidRDefault="004D1A8C" w:rsidP="008170B3">
      <w:pPr>
        <w:pStyle w:val="ListParagraph"/>
        <w:numPr>
          <w:ilvl w:val="0"/>
          <w:numId w:val="1"/>
        </w:numPr>
        <w:spacing w:line="240" w:lineRule="auto"/>
        <w:rPr>
          <w:rFonts w:cs="Arial"/>
        </w:rPr>
      </w:pPr>
      <w:r w:rsidRPr="00267A5A">
        <w:rPr>
          <w:rFonts w:cs="Arial"/>
        </w:rPr>
        <w:t xml:space="preserve">Adjusting for pupil background would lead </w:t>
      </w:r>
      <w:r w:rsidR="008F1C28">
        <w:rPr>
          <w:rFonts w:cs="Arial"/>
        </w:rPr>
        <w:t>46</w:t>
      </w:r>
      <w:r w:rsidRPr="00267A5A">
        <w:rPr>
          <w:rFonts w:cs="Arial"/>
        </w:rPr>
        <w:t xml:space="preserve">% of schools judged ‘underperforming’ under Progress 8 </w:t>
      </w:r>
      <w:r w:rsidR="00461411" w:rsidRPr="00267A5A">
        <w:rPr>
          <w:rFonts w:cs="Arial"/>
        </w:rPr>
        <w:t>to move up out of this banding</w:t>
      </w:r>
      <w:r w:rsidR="009061AE" w:rsidRPr="00267A5A">
        <w:rPr>
          <w:rFonts w:cs="Arial"/>
        </w:rPr>
        <w:t>.</w:t>
      </w:r>
      <w:r w:rsidR="00E009F9" w:rsidRPr="00267A5A">
        <w:rPr>
          <w:rFonts w:cs="Arial"/>
        </w:rPr>
        <w:br/>
      </w:r>
    </w:p>
    <w:p w14:paraId="53C2CCC5" w14:textId="77777777" w:rsidR="004D1A8C" w:rsidRPr="00267A5A" w:rsidRDefault="004D1A8C" w:rsidP="00927A98">
      <w:pPr>
        <w:pStyle w:val="ListParagraph"/>
        <w:numPr>
          <w:ilvl w:val="0"/>
          <w:numId w:val="1"/>
        </w:numPr>
        <w:spacing w:line="240" w:lineRule="auto"/>
        <w:rPr>
          <w:rFonts w:cs="Arial"/>
        </w:rPr>
      </w:pPr>
      <w:r w:rsidRPr="00267A5A">
        <w:rPr>
          <w:rFonts w:cs="Arial"/>
        </w:rPr>
        <w:t xml:space="preserve">The high average Progress 8 score seen in London </w:t>
      </w:r>
      <w:r w:rsidR="00741D0B">
        <w:rPr>
          <w:rFonts w:cs="Arial"/>
        </w:rPr>
        <w:t xml:space="preserve">more than </w:t>
      </w:r>
      <w:r w:rsidRPr="00267A5A">
        <w:rPr>
          <w:rFonts w:cs="Arial"/>
        </w:rPr>
        <w:t>halves when we adjust for pupil background. This is principally due to these schools teaching high proportions of high progress ethnic groups. In contrast, the low average Progress 8 score seen in the North East i</w:t>
      </w:r>
      <w:r w:rsidR="00F25ECC">
        <w:rPr>
          <w:rFonts w:cs="Arial"/>
        </w:rPr>
        <w:t>mproves</w:t>
      </w:r>
      <w:r w:rsidRPr="00267A5A">
        <w:rPr>
          <w:rFonts w:cs="Arial"/>
        </w:rPr>
        <w:t xml:space="preserve"> substantially after adjustment due to the high proportions of poor pupils taught in this region.</w:t>
      </w:r>
    </w:p>
    <w:p w14:paraId="73369301" w14:textId="77777777" w:rsidR="00003A7B" w:rsidRPr="00267A5A" w:rsidRDefault="00003A7B" w:rsidP="00003A7B">
      <w:pPr>
        <w:pStyle w:val="ListParagraph"/>
        <w:spacing w:line="240" w:lineRule="auto"/>
        <w:rPr>
          <w:rFonts w:cs="Arial"/>
        </w:rPr>
      </w:pPr>
    </w:p>
    <w:p w14:paraId="0FB28DB8" w14:textId="77777777" w:rsidR="00003A7B" w:rsidRPr="00267A5A" w:rsidRDefault="004D1A8C" w:rsidP="00003A7B">
      <w:pPr>
        <w:pStyle w:val="ListParagraph"/>
        <w:numPr>
          <w:ilvl w:val="0"/>
          <w:numId w:val="1"/>
        </w:numPr>
        <w:spacing w:line="240" w:lineRule="auto"/>
        <w:rPr>
          <w:rFonts w:cs="Arial"/>
        </w:rPr>
      </w:pPr>
      <w:r w:rsidRPr="00267A5A">
        <w:rPr>
          <w:rFonts w:cs="Arial"/>
        </w:rPr>
        <w:t xml:space="preserve">Other dramatic changes are seen for grammar schools and faith schools whose high average Progress 8 scores reduce substantially once the educationally advantaged nature of their pupils is considered. In contrast, the low average pupil progress seen in sponsored academies </w:t>
      </w:r>
      <w:r w:rsidR="00885E65">
        <w:rPr>
          <w:rFonts w:cs="Arial"/>
        </w:rPr>
        <w:t xml:space="preserve">improves </w:t>
      </w:r>
      <w:r w:rsidRPr="00267A5A">
        <w:rPr>
          <w:rFonts w:cs="Arial"/>
        </w:rPr>
        <w:t xml:space="preserve">once the disadvantaged nature of their pupils is recognised. </w:t>
      </w:r>
    </w:p>
    <w:p w14:paraId="4FF3852A" w14:textId="77777777" w:rsidR="00003A7B" w:rsidRPr="00267A5A" w:rsidRDefault="00003A7B" w:rsidP="00003A7B">
      <w:pPr>
        <w:pStyle w:val="ListParagraph"/>
        <w:spacing w:line="240" w:lineRule="auto"/>
        <w:rPr>
          <w:rFonts w:cs="Arial"/>
        </w:rPr>
      </w:pPr>
    </w:p>
    <w:p w14:paraId="4C487460" w14:textId="77777777" w:rsidR="004D1A8C" w:rsidRPr="00267A5A" w:rsidRDefault="004D1A8C" w:rsidP="00927A98">
      <w:pPr>
        <w:pStyle w:val="ListParagraph"/>
        <w:numPr>
          <w:ilvl w:val="0"/>
          <w:numId w:val="1"/>
        </w:numPr>
        <w:spacing w:line="240" w:lineRule="auto"/>
        <w:rPr>
          <w:rFonts w:cs="Arial"/>
        </w:rPr>
      </w:pPr>
      <w:r w:rsidRPr="00267A5A">
        <w:rPr>
          <w:rFonts w:cs="Arial"/>
        </w:rPr>
        <w:t xml:space="preserve">Progress 8 effectively punished schools teaching high proportions of disadvantaged pupils for the national underperformance of these groups. </w:t>
      </w:r>
    </w:p>
    <w:p w14:paraId="12A551BB" w14:textId="77777777" w:rsidR="00003A7B" w:rsidRPr="00267A5A" w:rsidRDefault="00003A7B" w:rsidP="00003A7B">
      <w:pPr>
        <w:pStyle w:val="ListParagraph"/>
        <w:spacing w:line="240" w:lineRule="auto"/>
        <w:rPr>
          <w:rFonts w:cs="Arial"/>
        </w:rPr>
      </w:pPr>
    </w:p>
    <w:p w14:paraId="6B3D3804" w14:textId="77777777" w:rsidR="004D1A8C" w:rsidRPr="00267A5A" w:rsidRDefault="004D1A8C" w:rsidP="00927A98">
      <w:pPr>
        <w:pStyle w:val="ListParagraph"/>
        <w:numPr>
          <w:ilvl w:val="0"/>
          <w:numId w:val="1"/>
        </w:numPr>
        <w:spacing w:line="240" w:lineRule="auto"/>
        <w:rPr>
          <w:rFonts w:cs="Arial"/>
        </w:rPr>
      </w:pPr>
      <w:r w:rsidRPr="00267A5A">
        <w:rPr>
          <w:rFonts w:cs="Arial"/>
        </w:rPr>
        <w:t>Progress 8 can therefore be argue</w:t>
      </w:r>
      <w:r w:rsidR="00837C96" w:rsidRPr="00267A5A">
        <w:rPr>
          <w:rFonts w:cs="Arial"/>
        </w:rPr>
        <w:t>d</w:t>
      </w:r>
      <w:r w:rsidRPr="00267A5A">
        <w:rPr>
          <w:rFonts w:cs="Arial"/>
        </w:rPr>
        <w:t xml:space="preserve"> to give too much emphasis</w:t>
      </w:r>
      <w:r w:rsidR="00461411" w:rsidRPr="00267A5A">
        <w:rPr>
          <w:rFonts w:cs="Arial"/>
        </w:rPr>
        <w:t xml:space="preserve"> to schools, rather than </w:t>
      </w:r>
      <w:r w:rsidRPr="00267A5A">
        <w:rPr>
          <w:rFonts w:cs="Arial"/>
        </w:rPr>
        <w:t xml:space="preserve">Government or society, as primarily responsible for the national underperformance of these groups. In contrast, adjusted versions of Progress 8 can be </w:t>
      </w:r>
      <w:r w:rsidR="00461411" w:rsidRPr="00267A5A">
        <w:rPr>
          <w:rFonts w:cs="Arial"/>
        </w:rPr>
        <w:t xml:space="preserve">viewed as rebalancing the responsibility more on </w:t>
      </w:r>
      <w:r w:rsidRPr="00267A5A">
        <w:rPr>
          <w:rFonts w:cs="Arial"/>
        </w:rPr>
        <w:t>society and Government, rather than school</w:t>
      </w:r>
      <w:r w:rsidR="00461411" w:rsidRPr="00267A5A">
        <w:rPr>
          <w:rFonts w:cs="Arial"/>
        </w:rPr>
        <w:t>s.</w:t>
      </w:r>
      <w:r w:rsidRPr="00267A5A">
        <w:rPr>
          <w:rFonts w:cs="Arial"/>
        </w:rPr>
        <w:t xml:space="preserve"> </w:t>
      </w:r>
    </w:p>
    <w:p w14:paraId="269ADD6D" w14:textId="77777777" w:rsidR="00003A7B" w:rsidRPr="00267A5A" w:rsidRDefault="00003A7B" w:rsidP="00003A7B">
      <w:pPr>
        <w:spacing w:line="240" w:lineRule="auto"/>
        <w:rPr>
          <w:rFonts w:cs="Arial"/>
        </w:rPr>
      </w:pPr>
    </w:p>
    <w:p w14:paraId="1E2D6EB3" w14:textId="77777777" w:rsidR="004D1A8C" w:rsidRPr="00267A5A" w:rsidRDefault="004D1A8C" w:rsidP="004D1A8C">
      <w:pPr>
        <w:spacing w:line="240" w:lineRule="auto"/>
        <w:rPr>
          <w:rFonts w:cs="Arial"/>
          <w:b/>
        </w:rPr>
      </w:pPr>
      <w:r w:rsidRPr="00267A5A">
        <w:rPr>
          <w:rFonts w:cs="Arial"/>
          <w:b/>
        </w:rPr>
        <w:t>Policy recommendations</w:t>
      </w:r>
    </w:p>
    <w:p w14:paraId="4FFC832C" w14:textId="77777777" w:rsidR="004D1A8C" w:rsidRPr="00267A5A" w:rsidRDefault="004D1A8C" w:rsidP="00927A98">
      <w:pPr>
        <w:pStyle w:val="ListParagraph"/>
        <w:numPr>
          <w:ilvl w:val="0"/>
          <w:numId w:val="1"/>
        </w:numPr>
        <w:spacing w:line="240" w:lineRule="auto"/>
        <w:rPr>
          <w:rFonts w:cs="Arial"/>
        </w:rPr>
      </w:pPr>
      <w:r w:rsidRPr="00267A5A">
        <w:rPr>
          <w:rFonts w:cs="Arial"/>
        </w:rPr>
        <w:t xml:space="preserve">The many well-known statistical issues with all attempts to measure school performance, not to mention more general concerns with perverse incentives and gaming behaviours introduced by high-stakes testing, suggest the DfE and Ofsted should place far less emphasis on Progress 8 when holding schools to account. </w:t>
      </w:r>
    </w:p>
    <w:p w14:paraId="25410707" w14:textId="77777777" w:rsidR="00003A7B" w:rsidRPr="00267A5A" w:rsidRDefault="00003A7B" w:rsidP="00003A7B">
      <w:pPr>
        <w:pStyle w:val="ListParagraph"/>
        <w:spacing w:line="240" w:lineRule="auto"/>
        <w:rPr>
          <w:rFonts w:cs="Arial"/>
        </w:rPr>
      </w:pPr>
    </w:p>
    <w:p w14:paraId="4AB75B6D" w14:textId="77777777" w:rsidR="00003A7B" w:rsidRPr="00267A5A" w:rsidRDefault="004D1A8C" w:rsidP="00003A7B">
      <w:pPr>
        <w:pStyle w:val="ListParagraph"/>
        <w:numPr>
          <w:ilvl w:val="0"/>
          <w:numId w:val="1"/>
        </w:numPr>
        <w:spacing w:line="240" w:lineRule="auto"/>
        <w:rPr>
          <w:rFonts w:cs="Arial"/>
        </w:rPr>
      </w:pPr>
      <w:r w:rsidRPr="00267A5A">
        <w:rPr>
          <w:rFonts w:cs="Arial"/>
        </w:rPr>
        <w:t xml:space="preserve">Given the importance of pupil background in driving schools’ scores, the Government should revise their current school league tables to include </w:t>
      </w:r>
      <w:r w:rsidR="00003A7B" w:rsidRPr="00267A5A">
        <w:rPr>
          <w:rFonts w:cs="Arial"/>
        </w:rPr>
        <w:t xml:space="preserve">an adjusted Progress 8 measure side-by-side with Progress 8 to present a more informative picture of school performance. </w:t>
      </w:r>
    </w:p>
    <w:p w14:paraId="773B542A" w14:textId="77777777" w:rsidR="00003A7B" w:rsidRPr="00267A5A" w:rsidRDefault="00003A7B" w:rsidP="00003A7B">
      <w:pPr>
        <w:spacing w:after="0" w:line="240" w:lineRule="auto"/>
        <w:rPr>
          <w:rFonts w:cs="Arial"/>
        </w:rPr>
      </w:pPr>
    </w:p>
    <w:p w14:paraId="3A18BADB" w14:textId="77777777" w:rsidR="00003A7B" w:rsidRPr="00267A5A" w:rsidRDefault="00003A7B" w:rsidP="00927A98">
      <w:pPr>
        <w:pStyle w:val="ListParagraph"/>
        <w:numPr>
          <w:ilvl w:val="0"/>
          <w:numId w:val="1"/>
        </w:numPr>
        <w:spacing w:line="240" w:lineRule="auto"/>
        <w:rPr>
          <w:rFonts w:cs="Arial"/>
        </w:rPr>
      </w:pPr>
      <w:r w:rsidRPr="00267A5A">
        <w:rPr>
          <w:rFonts w:cs="Arial"/>
        </w:rPr>
        <w:t xml:space="preserve">In this case, the DfE should provide users with greater insight as to why schools achieve the scores they do, accompanied with more detailed explanation as to the limitations of using such scores for school accountability, especially emphasising the statistical uncertainty associated with all school rankings. </w:t>
      </w:r>
    </w:p>
    <w:p w14:paraId="61C5371A" w14:textId="77777777" w:rsidR="004151DE" w:rsidRPr="00267A5A" w:rsidRDefault="004151DE" w:rsidP="004151DE">
      <w:pPr>
        <w:pStyle w:val="ListParagraph"/>
        <w:rPr>
          <w:rFonts w:cs="Arial"/>
          <w:b/>
        </w:rPr>
      </w:pPr>
    </w:p>
    <w:p w14:paraId="65DFCE97" w14:textId="77777777" w:rsidR="004151DE" w:rsidRPr="00267A5A" w:rsidRDefault="00327BE0" w:rsidP="004151DE">
      <w:pPr>
        <w:spacing w:line="240" w:lineRule="auto"/>
        <w:rPr>
          <w:rFonts w:cs="Arial"/>
          <w:b/>
        </w:rPr>
      </w:pPr>
      <w:r w:rsidRPr="00267A5A">
        <w:rPr>
          <w:rFonts w:cs="Arial"/>
          <w:b/>
        </w:rPr>
        <w:t>Further information</w:t>
      </w:r>
    </w:p>
    <w:p w14:paraId="56055125" w14:textId="77777777" w:rsidR="00327BE0" w:rsidRPr="00267A5A" w:rsidRDefault="006B1529" w:rsidP="006B1529">
      <w:pPr>
        <w:spacing w:line="240" w:lineRule="auto"/>
        <w:rPr>
          <w:rFonts w:cs="Arial"/>
        </w:rPr>
      </w:pPr>
      <w:r w:rsidRPr="00267A5A">
        <w:rPr>
          <w:rFonts w:cs="Arial"/>
        </w:rPr>
        <w:t xml:space="preserve">A version of this research based on results from 2016 is available as a journal article in the British Educational Research Journal. </w:t>
      </w:r>
    </w:p>
    <w:p w14:paraId="2506CD90" w14:textId="77777777" w:rsidR="006B1529" w:rsidRPr="00267A5A" w:rsidRDefault="0011667B" w:rsidP="006B1529">
      <w:pPr>
        <w:spacing w:line="240" w:lineRule="auto"/>
        <w:rPr>
          <w:rFonts w:cs="Arial"/>
        </w:rPr>
      </w:pPr>
      <w:hyperlink r:id="rId8" w:history="1">
        <w:r w:rsidR="006B1529" w:rsidRPr="00267A5A">
          <w:rPr>
            <w:rStyle w:val="Hyperlink"/>
            <w:rFonts w:cs="Arial"/>
          </w:rPr>
          <w:t>https://onlinelibrary.wiley.com/doi/10.1002/berj.3511</w:t>
        </w:r>
      </w:hyperlink>
    </w:p>
    <w:p w14:paraId="1108CDFB" w14:textId="77777777" w:rsidR="006B1529" w:rsidRPr="00267A5A" w:rsidRDefault="006B1529" w:rsidP="006B1529">
      <w:pPr>
        <w:spacing w:line="240" w:lineRule="auto"/>
        <w:rPr>
          <w:rFonts w:cs="Arial"/>
        </w:rPr>
      </w:pPr>
      <w:r w:rsidRPr="00267A5A">
        <w:rPr>
          <w:rFonts w:cs="Arial"/>
        </w:rPr>
        <w:t>A video recording of a presentation of the 2016 work is available.</w:t>
      </w:r>
    </w:p>
    <w:p w14:paraId="19D2C04C" w14:textId="77777777" w:rsidR="006B1529" w:rsidRPr="00267A5A" w:rsidRDefault="0011667B" w:rsidP="006B1529">
      <w:pPr>
        <w:spacing w:line="240" w:lineRule="auto"/>
        <w:rPr>
          <w:rFonts w:cs="Arial"/>
        </w:rPr>
      </w:pPr>
      <w:hyperlink r:id="rId9" w:history="1">
        <w:r w:rsidR="006B1529" w:rsidRPr="00267A5A">
          <w:rPr>
            <w:rStyle w:val="Hyperlink"/>
            <w:rFonts w:cs="Arial"/>
          </w:rPr>
          <w:t>https://mediacentral.ucl.ac.uk/Play/15633</w:t>
        </w:r>
      </w:hyperlink>
    </w:p>
    <w:p w14:paraId="4527DA3B" w14:textId="77777777" w:rsidR="006B1529" w:rsidRPr="00267A5A" w:rsidRDefault="006B1529" w:rsidP="006B1529">
      <w:pPr>
        <w:spacing w:line="240" w:lineRule="auto"/>
        <w:rPr>
          <w:rFonts w:cs="Arial"/>
        </w:rPr>
      </w:pPr>
      <w:r w:rsidRPr="00267A5A">
        <w:rPr>
          <w:rFonts w:cs="Arial"/>
        </w:rPr>
        <w:t xml:space="preserve">The slides are also available, as is a working paper version of the 2016 work. </w:t>
      </w:r>
    </w:p>
    <w:p w14:paraId="24EBF33C" w14:textId="77777777" w:rsidR="00741D0B" w:rsidRDefault="0011667B" w:rsidP="00267A5A">
      <w:pPr>
        <w:spacing w:line="240" w:lineRule="auto"/>
        <w:rPr>
          <w:rStyle w:val="Hyperlink"/>
          <w:rFonts w:cs="Arial"/>
        </w:rPr>
      </w:pPr>
      <w:hyperlink r:id="rId10" w:history="1">
        <w:r w:rsidR="006B1529" w:rsidRPr="00267A5A">
          <w:rPr>
            <w:rStyle w:val="Hyperlink"/>
            <w:rFonts w:cs="Arial"/>
          </w:rPr>
          <w:t>http://www.bristol.ac.uk/cmm/media/leckie/leckie2018-11-14-london.pdf</w:t>
        </w:r>
      </w:hyperlink>
    </w:p>
    <w:p w14:paraId="0ADF0A8F" w14:textId="77777777" w:rsidR="00741D0B" w:rsidRDefault="00741D0B" w:rsidP="00267A5A">
      <w:pPr>
        <w:spacing w:line="240" w:lineRule="auto"/>
        <w:rPr>
          <w:rStyle w:val="Hyperlink"/>
          <w:rFonts w:cs="Arial"/>
        </w:rPr>
      </w:pPr>
    </w:p>
    <w:p w14:paraId="29A4C78C" w14:textId="77777777" w:rsidR="00741D0B" w:rsidRDefault="00741D0B" w:rsidP="00741D0B">
      <w:pPr>
        <w:spacing w:line="240" w:lineRule="auto"/>
        <w:rPr>
          <w:rFonts w:cs="Arial"/>
          <w:b/>
        </w:rPr>
      </w:pPr>
      <w:r>
        <w:rPr>
          <w:rFonts w:cs="Arial"/>
          <w:b/>
        </w:rPr>
        <w:t>Acknowledgements</w:t>
      </w:r>
    </w:p>
    <w:p w14:paraId="31881728" w14:textId="77777777" w:rsidR="00741D0B" w:rsidRPr="00085C09" w:rsidRDefault="00741D0B" w:rsidP="00741D0B">
      <w:pPr>
        <w:spacing w:after="0" w:line="240" w:lineRule="auto"/>
        <w:rPr>
          <w:rFonts w:eastAsia="Times New Roman" w:cs="Arial"/>
          <w:szCs w:val="20"/>
          <w:lang w:eastAsia="en-GB"/>
        </w:rPr>
      </w:pPr>
      <w:r w:rsidRPr="00085C09">
        <w:rPr>
          <w:rFonts w:eastAsia="Times New Roman" w:cs="Arial"/>
          <w:szCs w:val="20"/>
          <w:lang w:eastAsia="en-GB"/>
        </w:rPr>
        <w:t xml:space="preserve">This work was produced using statistical data from ONS. The use of the ONS statistical data in this work does not imply the endorsement of the ONS in relation to the interpretation or analysis of the statistical data. This work uses research datasets which may not exactly reproduce ONS aggregates. </w:t>
      </w:r>
    </w:p>
    <w:p w14:paraId="4CED3671" w14:textId="77777777" w:rsidR="00741D0B" w:rsidRPr="00085C09" w:rsidRDefault="00741D0B" w:rsidP="00741D0B">
      <w:pPr>
        <w:spacing w:line="240" w:lineRule="auto"/>
        <w:rPr>
          <w:rFonts w:cs="Arial"/>
          <w:b/>
          <w:sz w:val="24"/>
        </w:rPr>
      </w:pPr>
    </w:p>
    <w:p w14:paraId="434E6FE2" w14:textId="77777777" w:rsidR="00741D0B" w:rsidRDefault="00741D0B" w:rsidP="00267A5A">
      <w:pPr>
        <w:spacing w:line="240" w:lineRule="auto"/>
        <w:rPr>
          <w:rStyle w:val="Hyperlink"/>
          <w:rFonts w:cs="Arial"/>
        </w:rPr>
      </w:pPr>
    </w:p>
    <w:p w14:paraId="3326FAFB" w14:textId="77777777" w:rsidR="00837C96" w:rsidRPr="00267A5A" w:rsidRDefault="00837C96" w:rsidP="00267A5A">
      <w:pPr>
        <w:spacing w:line="240" w:lineRule="auto"/>
        <w:rPr>
          <w:rFonts w:cs="Arial"/>
          <w:b/>
        </w:rPr>
      </w:pPr>
      <w:r w:rsidRPr="00267A5A">
        <w:rPr>
          <w:rFonts w:cs="Arial"/>
          <w:b/>
        </w:rPr>
        <w:br w:type="page"/>
      </w:r>
    </w:p>
    <w:p w14:paraId="79774CC4" w14:textId="77777777" w:rsidR="006B1529" w:rsidRPr="00267A5A" w:rsidRDefault="006B1529" w:rsidP="00267A5A">
      <w:pPr>
        <w:spacing w:line="240" w:lineRule="auto"/>
        <w:jc w:val="center"/>
        <w:rPr>
          <w:rFonts w:cs="Arial"/>
          <w:b/>
        </w:rPr>
      </w:pPr>
      <w:r w:rsidRPr="00267A5A">
        <w:rPr>
          <w:rFonts w:cs="Arial"/>
          <w:b/>
        </w:rPr>
        <w:lastRenderedPageBreak/>
        <w:t>Appendix: Detailed findings</w:t>
      </w:r>
    </w:p>
    <w:p w14:paraId="70C8F662" w14:textId="67D9161F" w:rsidR="006B1529" w:rsidRPr="00267A5A" w:rsidRDefault="0011667B" w:rsidP="006B1529">
      <w:pPr>
        <w:spacing w:line="240" w:lineRule="auto"/>
        <w:rPr>
          <w:rFonts w:cs="Arial"/>
          <w:b/>
        </w:rPr>
      </w:pPr>
      <w:r>
        <w:rPr>
          <w:rFonts w:cs="Arial"/>
          <w:noProof/>
          <w:lang w:eastAsia="en-GB"/>
        </w:rPr>
        <w:drawing>
          <wp:anchor distT="0" distB="0" distL="114300" distR="114300" simplePos="0" relativeHeight="251664384" behindDoc="0" locked="0" layoutInCell="1" allowOverlap="1" wp14:anchorId="2CA96507" wp14:editId="7188379E">
            <wp:simplePos x="0" y="0"/>
            <wp:positionH relativeFrom="margin">
              <wp:align>right</wp:align>
            </wp:positionH>
            <wp:positionV relativeFrom="page">
              <wp:posOffset>1411605</wp:posOffset>
            </wp:positionV>
            <wp:extent cx="5731510" cy="6324600"/>
            <wp:effectExtent l="0" t="0" r="2540" b="0"/>
            <wp:wrapSquare wrapText="bothSides"/>
            <wp:docPr id="2" name="Picture 2" descr="Progress 8 and Adjusted Progress 8 scores averaged by pupil characteristics. Results discussed in points 19 to 27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gress 8 and Adjusted Progress 8 scores averaged by pupil characteristics. Results discussed in points 19 to 27 in the tex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6324600"/>
                    </a:xfrm>
                    <a:prstGeom prst="rect">
                      <a:avLst/>
                    </a:prstGeom>
                  </pic:spPr>
                </pic:pic>
              </a:graphicData>
            </a:graphic>
          </wp:anchor>
        </w:drawing>
      </w:r>
      <w:r w:rsidR="006B1529" w:rsidRPr="00267A5A">
        <w:rPr>
          <w:rFonts w:cs="Arial"/>
          <w:b/>
        </w:rPr>
        <w:t>Figure 1. Average pupil Progress 8 and Adjusted Progress 8 scores by pupil characteristics.</w:t>
      </w:r>
    </w:p>
    <w:p w14:paraId="68A0FF1E" w14:textId="1A354251" w:rsidR="006B1529" w:rsidRPr="00267A5A" w:rsidRDefault="006B1529" w:rsidP="006B1529">
      <w:pPr>
        <w:pStyle w:val="ListParagraph"/>
        <w:numPr>
          <w:ilvl w:val="0"/>
          <w:numId w:val="1"/>
        </w:numPr>
        <w:spacing w:line="240" w:lineRule="auto"/>
        <w:rPr>
          <w:rFonts w:cs="Arial"/>
        </w:rPr>
      </w:pPr>
      <w:r w:rsidRPr="00267A5A">
        <w:rPr>
          <w:rFonts w:cs="Arial"/>
        </w:rPr>
        <w:t xml:space="preserve">The left-hand plot is for Progress 8. The plot shows how much better, on average, each pupil group performs than predicted by the KS2 scores. The results are expressed in terms of grades per GCSE subject. </w:t>
      </w:r>
    </w:p>
    <w:p w14:paraId="036802EF" w14:textId="40269B53" w:rsidR="00AD5AD8" w:rsidRPr="00267A5A" w:rsidRDefault="00AD5AD8" w:rsidP="00AD5AD8">
      <w:pPr>
        <w:pStyle w:val="ListParagraph"/>
        <w:spacing w:line="240" w:lineRule="auto"/>
        <w:rPr>
          <w:rFonts w:cs="Arial"/>
        </w:rPr>
      </w:pPr>
    </w:p>
    <w:p w14:paraId="484546EB" w14:textId="4B082C2E" w:rsidR="00204A80" w:rsidRPr="00204A80" w:rsidRDefault="006B1529" w:rsidP="00204A80">
      <w:pPr>
        <w:pStyle w:val="ListParagraph"/>
        <w:numPr>
          <w:ilvl w:val="0"/>
          <w:numId w:val="1"/>
        </w:numPr>
        <w:spacing w:line="240" w:lineRule="auto"/>
        <w:rPr>
          <w:rFonts w:cs="Arial"/>
        </w:rPr>
      </w:pPr>
      <w:r w:rsidRPr="00267A5A">
        <w:rPr>
          <w:rFonts w:cs="Arial"/>
        </w:rPr>
        <w:t xml:space="preserve">The right-hand plot is for Adjusted Progress 8. The plot shows how much better, on average, each pupil group performs than predicted </w:t>
      </w:r>
      <w:r w:rsidR="00837C96" w:rsidRPr="00267A5A">
        <w:rPr>
          <w:rFonts w:cs="Arial"/>
        </w:rPr>
        <w:t xml:space="preserve">when these predictions are based on combining information on </w:t>
      </w:r>
      <w:r w:rsidRPr="00267A5A">
        <w:rPr>
          <w:rFonts w:cs="Arial"/>
        </w:rPr>
        <w:t xml:space="preserve">their KS2 scores, age, gender, ethnicity, language, </w:t>
      </w:r>
      <w:r w:rsidR="00AD5AD8" w:rsidRPr="00267A5A">
        <w:rPr>
          <w:rFonts w:cs="Arial"/>
        </w:rPr>
        <w:t xml:space="preserve">SEN, FSM and deprivation. The results are expressed in terms of grades per GCSE subject. </w:t>
      </w:r>
      <w:r w:rsidR="00AD5AD8" w:rsidRPr="00204A80">
        <w:rPr>
          <w:rFonts w:cs="Arial"/>
        </w:rPr>
        <w:t>B</w:t>
      </w:r>
      <w:r w:rsidR="00BE1BA1" w:rsidRPr="00204A80">
        <w:rPr>
          <w:rFonts w:cs="Arial"/>
        </w:rPr>
        <w:t xml:space="preserve">y definition, there is </w:t>
      </w:r>
      <w:r w:rsidR="00AD5AD8" w:rsidRPr="00204A80">
        <w:rPr>
          <w:rFonts w:cs="Arial"/>
        </w:rPr>
        <w:t>no variation in average Adjusted Progress 8 by pupil characteristics</w:t>
      </w:r>
      <w:r w:rsidR="00837C96" w:rsidRPr="00204A80">
        <w:rPr>
          <w:rFonts w:cs="Arial"/>
        </w:rPr>
        <w:t xml:space="preserve"> as these have all been accounted for in the construction of this more complex measure</w:t>
      </w:r>
      <w:r w:rsidR="00AD5AD8" w:rsidRPr="00204A80">
        <w:rPr>
          <w:rFonts w:cs="Arial"/>
        </w:rPr>
        <w:t xml:space="preserve">. </w:t>
      </w:r>
    </w:p>
    <w:p w14:paraId="24BE72C6" w14:textId="06C25239" w:rsidR="00204A80" w:rsidRDefault="00204A80" w:rsidP="00204A80">
      <w:pPr>
        <w:pStyle w:val="ListParagraph"/>
        <w:rPr>
          <w:rFonts w:cs="Arial"/>
        </w:rPr>
      </w:pPr>
    </w:p>
    <w:p w14:paraId="3945E1C2" w14:textId="77777777" w:rsidR="00AD5AD8" w:rsidRPr="00267A5A" w:rsidRDefault="00AD5AD8" w:rsidP="00AD5AD8">
      <w:pPr>
        <w:pStyle w:val="ListParagraph"/>
        <w:numPr>
          <w:ilvl w:val="0"/>
          <w:numId w:val="1"/>
        </w:numPr>
        <w:rPr>
          <w:rFonts w:cs="Arial"/>
        </w:rPr>
      </w:pPr>
      <w:r w:rsidRPr="00267A5A">
        <w:rPr>
          <w:rFonts w:cs="Arial"/>
        </w:rPr>
        <w:lastRenderedPageBreak/>
        <w:t xml:space="preserve">August born pupils make </w:t>
      </w:r>
      <w:r w:rsidR="00AA130A">
        <w:rPr>
          <w:rFonts w:cs="Arial"/>
        </w:rPr>
        <w:t>0.18</w:t>
      </w:r>
      <w:r w:rsidR="000B53F3" w:rsidRPr="00267A5A">
        <w:rPr>
          <w:rFonts w:cs="Arial"/>
        </w:rPr>
        <w:t xml:space="preserve"> grades more progress per subject than their September born peers. Given that the standard deviation </w:t>
      </w:r>
      <w:r w:rsidR="00900B44">
        <w:rPr>
          <w:rFonts w:cs="Arial"/>
        </w:rPr>
        <w:t>(SD) in Pupil Progress 8 is 1.28</w:t>
      </w:r>
      <w:r w:rsidR="000B53F3" w:rsidRPr="00267A5A">
        <w:rPr>
          <w:rFonts w:cs="Arial"/>
        </w:rPr>
        <w:t xml:space="preserve">, this difference is </w:t>
      </w:r>
      <w:r w:rsidR="00900B44">
        <w:rPr>
          <w:rFonts w:cs="Arial"/>
        </w:rPr>
        <w:t xml:space="preserve">reasonably </w:t>
      </w:r>
      <w:r w:rsidR="000B53F3" w:rsidRPr="00267A5A">
        <w:rPr>
          <w:rFonts w:cs="Arial"/>
        </w:rPr>
        <w:t xml:space="preserve">substantial, </w:t>
      </w:r>
      <w:r w:rsidR="00900B44">
        <w:rPr>
          <w:rFonts w:cs="Arial"/>
        </w:rPr>
        <w:t>approaching one seventh</w:t>
      </w:r>
      <w:r w:rsidR="00F40958">
        <w:rPr>
          <w:rFonts w:cs="Arial"/>
        </w:rPr>
        <w:t xml:space="preserve"> of </w:t>
      </w:r>
      <w:r w:rsidR="000B53F3" w:rsidRPr="00267A5A">
        <w:rPr>
          <w:rFonts w:cs="Arial"/>
        </w:rPr>
        <w:t xml:space="preserve">1.00 SD. More generally, younger pupils within the academic year make more progress than older pupils. However, younger pupils score lower than older pupils at the end of primary schooling and they still do so at the end of secondary schooling despite their higher progress. Thus, the higher progress shown among younger pupils reflects their attainment approaching, but not reaching, the higher attainment of their older peers during secondary schooling. </w:t>
      </w:r>
    </w:p>
    <w:p w14:paraId="48F2A26C" w14:textId="77777777" w:rsidR="002F2D7D" w:rsidRPr="00267A5A" w:rsidRDefault="002F2D7D" w:rsidP="002F2D7D">
      <w:pPr>
        <w:pStyle w:val="ListParagraph"/>
        <w:rPr>
          <w:rFonts w:cs="Arial"/>
        </w:rPr>
      </w:pPr>
    </w:p>
    <w:p w14:paraId="1F4DE5FF" w14:textId="77777777" w:rsidR="002F2D7D" w:rsidRPr="00267A5A" w:rsidRDefault="000B53F3" w:rsidP="002F2D7D">
      <w:pPr>
        <w:pStyle w:val="ListParagraph"/>
        <w:numPr>
          <w:ilvl w:val="0"/>
          <w:numId w:val="1"/>
        </w:numPr>
        <w:rPr>
          <w:rFonts w:cs="Arial"/>
        </w:rPr>
      </w:pPr>
      <w:r w:rsidRPr="00267A5A">
        <w:rPr>
          <w:rFonts w:cs="Arial"/>
        </w:rPr>
        <w:t xml:space="preserve">Girls make </w:t>
      </w:r>
      <w:r w:rsidR="00900B44">
        <w:rPr>
          <w:rFonts w:cs="Arial"/>
        </w:rPr>
        <w:t>0.47</w:t>
      </w:r>
      <w:r w:rsidR="002F2D7D" w:rsidRPr="00267A5A">
        <w:rPr>
          <w:rFonts w:cs="Arial"/>
        </w:rPr>
        <w:t xml:space="preserve"> grades more progress per subject than boys. </w:t>
      </w:r>
      <w:r w:rsidR="00900B44">
        <w:rPr>
          <w:rFonts w:cs="Arial"/>
        </w:rPr>
        <w:t xml:space="preserve">The cohort of girls completing KS4 in 2019 scored similarly to </w:t>
      </w:r>
      <w:r w:rsidR="002F2D7D" w:rsidRPr="00267A5A">
        <w:rPr>
          <w:rFonts w:cs="Arial"/>
        </w:rPr>
        <w:t>boys at the end of primary schooling and so t</w:t>
      </w:r>
      <w:r w:rsidR="00900B44">
        <w:rPr>
          <w:rFonts w:cs="Arial"/>
        </w:rPr>
        <w:t xml:space="preserve">he gender attainment gap widened </w:t>
      </w:r>
      <w:r w:rsidR="002F2D7D" w:rsidRPr="00267A5A">
        <w:rPr>
          <w:rFonts w:cs="Arial"/>
        </w:rPr>
        <w:t>over secondary schooling.</w:t>
      </w:r>
    </w:p>
    <w:p w14:paraId="0A7D3C89" w14:textId="77777777" w:rsidR="002F2D7D" w:rsidRPr="00267A5A" w:rsidRDefault="002F2D7D" w:rsidP="002F2D7D">
      <w:pPr>
        <w:spacing w:after="0"/>
        <w:rPr>
          <w:rFonts w:cs="Arial"/>
        </w:rPr>
      </w:pPr>
    </w:p>
    <w:p w14:paraId="0187FF88" w14:textId="77777777" w:rsidR="002F2D7D" w:rsidRPr="00267A5A" w:rsidRDefault="002F2D7D" w:rsidP="00AD5AD8">
      <w:pPr>
        <w:pStyle w:val="ListParagraph"/>
        <w:numPr>
          <w:ilvl w:val="0"/>
          <w:numId w:val="1"/>
        </w:numPr>
        <w:rPr>
          <w:rFonts w:cs="Arial"/>
        </w:rPr>
      </w:pPr>
      <w:r w:rsidRPr="00267A5A">
        <w:rPr>
          <w:rFonts w:cs="Arial"/>
        </w:rPr>
        <w:t>There is substantial variation in Progress 8 by ethnic group. Chinese pupils (0.3% of al</w:t>
      </w:r>
      <w:r w:rsidR="001C7043">
        <w:rPr>
          <w:rFonts w:cs="Arial"/>
        </w:rPr>
        <w:t>l pupils) score, on average, 0.90</w:t>
      </w:r>
      <w:r w:rsidRPr="00267A5A">
        <w:rPr>
          <w:rFonts w:cs="Arial"/>
        </w:rPr>
        <w:t xml:space="preserve"> grades higher per subject than expected given their prio</w:t>
      </w:r>
      <w:r w:rsidR="001C7043">
        <w:rPr>
          <w:rFonts w:cs="Arial"/>
        </w:rPr>
        <w:t>r attainment, Indian pupils (2.7%) 0.73</w:t>
      </w:r>
      <w:r w:rsidRPr="00267A5A">
        <w:rPr>
          <w:rFonts w:cs="Arial"/>
        </w:rPr>
        <w:t xml:space="preserve"> grades higher, </w:t>
      </w:r>
      <w:r w:rsidR="001C7043">
        <w:rPr>
          <w:rFonts w:cs="Arial"/>
        </w:rPr>
        <w:t xml:space="preserve">Bangladeshi pupils (1.8%) 0.51 </w:t>
      </w:r>
      <w:r w:rsidR="007706BD" w:rsidRPr="00267A5A">
        <w:rPr>
          <w:rFonts w:cs="Arial"/>
        </w:rPr>
        <w:t>grades higher</w:t>
      </w:r>
      <w:r w:rsidRPr="00267A5A">
        <w:rPr>
          <w:rFonts w:cs="Arial"/>
        </w:rPr>
        <w:t xml:space="preserve">, and </w:t>
      </w:r>
      <w:r w:rsidR="007706BD" w:rsidRPr="00267A5A">
        <w:rPr>
          <w:rFonts w:cs="Arial"/>
        </w:rPr>
        <w:t>Black African pupils (3</w:t>
      </w:r>
      <w:r w:rsidR="001C7043">
        <w:rPr>
          <w:rFonts w:cs="Arial"/>
        </w:rPr>
        <w:t>.3</w:t>
      </w:r>
      <w:r w:rsidR="007706BD" w:rsidRPr="00267A5A">
        <w:rPr>
          <w:rFonts w:cs="Arial"/>
        </w:rPr>
        <w:t>%</w:t>
      </w:r>
      <w:r w:rsidR="001C7043">
        <w:rPr>
          <w:rFonts w:cs="Arial"/>
        </w:rPr>
        <w:t>) 0.36</w:t>
      </w:r>
      <w:r w:rsidR="007706BD" w:rsidRPr="00267A5A">
        <w:rPr>
          <w:rFonts w:cs="Arial"/>
        </w:rPr>
        <w:t xml:space="preserve"> grades higher. In co</w:t>
      </w:r>
      <w:r w:rsidR="001C7043">
        <w:rPr>
          <w:rFonts w:cs="Arial"/>
        </w:rPr>
        <w:t>ntrast, White British pupils (72%), on average, score 0.12</w:t>
      </w:r>
      <w:r w:rsidR="007706BD" w:rsidRPr="00267A5A">
        <w:rPr>
          <w:rFonts w:cs="Arial"/>
        </w:rPr>
        <w:t xml:space="preserve"> grades lower than expec</w:t>
      </w:r>
      <w:r w:rsidR="001C7043">
        <w:rPr>
          <w:rFonts w:cs="Arial"/>
        </w:rPr>
        <w:t xml:space="preserve">ted. Black Caribbean pupils (1.4%) do worse still, scoring 0.26 </w:t>
      </w:r>
      <w:r w:rsidR="007706BD" w:rsidRPr="00267A5A">
        <w:rPr>
          <w:rFonts w:cs="Arial"/>
        </w:rPr>
        <w:t>grades lower than expected.</w:t>
      </w:r>
      <w:r w:rsidR="001C7043">
        <w:rPr>
          <w:rFonts w:cs="Arial"/>
        </w:rPr>
        <w:t xml:space="preserve"> However, Gypsy/Roma pupils (0.2</w:t>
      </w:r>
      <w:r w:rsidR="007706BD" w:rsidRPr="00267A5A">
        <w:rPr>
          <w:rFonts w:cs="Arial"/>
        </w:rPr>
        <w:t>%) and Travellers of Irish Heritage (0.02%) show t</w:t>
      </w:r>
      <w:r w:rsidR="00F40958">
        <w:rPr>
          <w:rFonts w:cs="Arial"/>
        </w:rPr>
        <w:t xml:space="preserve">he lowest </w:t>
      </w:r>
      <w:r w:rsidR="001C7043">
        <w:rPr>
          <w:rFonts w:cs="Arial"/>
        </w:rPr>
        <w:t xml:space="preserve">progress, scoring 0.74 and 0.91 </w:t>
      </w:r>
      <w:r w:rsidR="007706BD" w:rsidRPr="00267A5A">
        <w:rPr>
          <w:rFonts w:cs="Arial"/>
        </w:rPr>
        <w:t xml:space="preserve">grades lower. </w:t>
      </w:r>
    </w:p>
    <w:p w14:paraId="5962BAE1" w14:textId="77777777" w:rsidR="007706BD" w:rsidRPr="00267A5A" w:rsidRDefault="007706BD" w:rsidP="007706BD">
      <w:pPr>
        <w:pStyle w:val="ListParagraph"/>
        <w:rPr>
          <w:rFonts w:cs="Arial"/>
        </w:rPr>
      </w:pPr>
    </w:p>
    <w:p w14:paraId="3BA8259A" w14:textId="77777777" w:rsidR="007706BD" w:rsidRPr="00267A5A" w:rsidRDefault="007706BD" w:rsidP="00AD5AD8">
      <w:pPr>
        <w:pStyle w:val="ListParagraph"/>
        <w:numPr>
          <w:ilvl w:val="0"/>
          <w:numId w:val="1"/>
        </w:numPr>
        <w:rPr>
          <w:rFonts w:cs="Arial"/>
        </w:rPr>
      </w:pPr>
      <w:r w:rsidRPr="00267A5A">
        <w:rPr>
          <w:rFonts w:cs="Arial"/>
        </w:rPr>
        <w:t>Pupils speaking English as an additional langu</w:t>
      </w:r>
      <w:r w:rsidR="00F40958">
        <w:rPr>
          <w:rFonts w:cs="Arial"/>
        </w:rPr>
        <w:t>age (14% of all pupils) make 0.5</w:t>
      </w:r>
      <w:r w:rsidR="001C7043">
        <w:rPr>
          <w:rFonts w:cs="Arial"/>
        </w:rPr>
        <w:t>9</w:t>
      </w:r>
      <w:r w:rsidRPr="00267A5A">
        <w:rPr>
          <w:rFonts w:cs="Arial"/>
        </w:rPr>
        <w:t xml:space="preserve"> grades more progress per subject than pupils who speak English as their first language. Essentially, this pupil group catches up and by the end of secondary schooling overtakes their peers who speak English as a first language. </w:t>
      </w:r>
    </w:p>
    <w:p w14:paraId="3CB75E69" w14:textId="77777777" w:rsidR="007706BD" w:rsidRPr="00267A5A" w:rsidRDefault="007706BD" w:rsidP="007706BD">
      <w:pPr>
        <w:pStyle w:val="ListParagraph"/>
        <w:rPr>
          <w:rFonts w:cs="Arial"/>
        </w:rPr>
      </w:pPr>
    </w:p>
    <w:p w14:paraId="61ADB756" w14:textId="77777777" w:rsidR="007706BD" w:rsidRPr="00267A5A" w:rsidRDefault="007706BD" w:rsidP="00AD5AD8">
      <w:pPr>
        <w:pStyle w:val="ListParagraph"/>
        <w:numPr>
          <w:ilvl w:val="0"/>
          <w:numId w:val="1"/>
        </w:numPr>
        <w:rPr>
          <w:rFonts w:cs="Arial"/>
        </w:rPr>
      </w:pPr>
      <w:r w:rsidRPr="00267A5A">
        <w:rPr>
          <w:rFonts w:cs="Arial"/>
        </w:rPr>
        <w:t>Pupils with SEN support (</w:t>
      </w:r>
      <w:r w:rsidR="001C7043">
        <w:rPr>
          <w:rFonts w:cs="Arial"/>
        </w:rPr>
        <w:t>13</w:t>
      </w:r>
      <w:r w:rsidR="00BA6903" w:rsidRPr="00267A5A">
        <w:rPr>
          <w:rFonts w:cs="Arial"/>
        </w:rPr>
        <w:t>% of all pupils), especially those with statements or education, health and care (EHC) plans (2</w:t>
      </w:r>
      <w:r w:rsidR="006B6A56">
        <w:rPr>
          <w:rFonts w:cs="Arial"/>
        </w:rPr>
        <w:t>.1</w:t>
      </w:r>
      <w:r w:rsidR="00BA6903" w:rsidRPr="00267A5A">
        <w:rPr>
          <w:rFonts w:cs="Arial"/>
        </w:rPr>
        <w:t>%), make considerably less progress than pupils with no special educational needs. These two pupil groups already score lower at the end of primary schooling and so these attainment gaps widen during secondary schooling.</w:t>
      </w:r>
    </w:p>
    <w:p w14:paraId="605F4C3C" w14:textId="77777777" w:rsidR="00BA6903" w:rsidRPr="00267A5A" w:rsidRDefault="00BA6903" w:rsidP="00BA6903">
      <w:pPr>
        <w:pStyle w:val="ListParagraph"/>
        <w:rPr>
          <w:rFonts w:cs="Arial"/>
        </w:rPr>
      </w:pPr>
    </w:p>
    <w:p w14:paraId="42FC8C83" w14:textId="77777777" w:rsidR="00BA6903" w:rsidRPr="00267A5A" w:rsidRDefault="00BA6903" w:rsidP="00AD5AD8">
      <w:pPr>
        <w:pStyle w:val="ListParagraph"/>
        <w:numPr>
          <w:ilvl w:val="0"/>
          <w:numId w:val="1"/>
        </w:numPr>
        <w:rPr>
          <w:rFonts w:cs="Arial"/>
        </w:rPr>
      </w:pPr>
      <w:r w:rsidRPr="00267A5A">
        <w:rPr>
          <w:rFonts w:cs="Arial"/>
        </w:rPr>
        <w:t>Pupils eligible for FS</w:t>
      </w:r>
      <w:r w:rsidR="001C7043">
        <w:rPr>
          <w:rFonts w:cs="Arial"/>
        </w:rPr>
        <w:t>M (24</w:t>
      </w:r>
      <w:r w:rsidR="006B6A56">
        <w:rPr>
          <w:rFonts w:cs="Arial"/>
        </w:rPr>
        <w:t>.5</w:t>
      </w:r>
      <w:r w:rsidRPr="00267A5A">
        <w:rPr>
          <w:rFonts w:cs="Arial"/>
        </w:rPr>
        <w:t>% o</w:t>
      </w:r>
      <w:r w:rsidR="006B6A56">
        <w:rPr>
          <w:rFonts w:cs="Arial"/>
        </w:rPr>
        <w:t>f all pupils) make 0.</w:t>
      </w:r>
      <w:r w:rsidR="001C7043">
        <w:rPr>
          <w:rFonts w:cs="Arial"/>
        </w:rPr>
        <w:t>51</w:t>
      </w:r>
      <w:r w:rsidRPr="00267A5A">
        <w:rPr>
          <w:rFonts w:cs="Arial"/>
        </w:rPr>
        <w:t xml:space="preserve"> grades less progress per subject than pupils who were not eligible for FSM during the previous 6 years. </w:t>
      </w:r>
    </w:p>
    <w:p w14:paraId="6DA75AF3" w14:textId="77777777" w:rsidR="00BA6903" w:rsidRPr="00267A5A" w:rsidRDefault="00BA6903" w:rsidP="00BA6903">
      <w:pPr>
        <w:pStyle w:val="ListParagraph"/>
        <w:rPr>
          <w:rFonts w:cs="Arial"/>
        </w:rPr>
      </w:pPr>
    </w:p>
    <w:p w14:paraId="4859028E" w14:textId="77777777" w:rsidR="00BA6903" w:rsidRPr="00267A5A" w:rsidRDefault="00BA6903" w:rsidP="00AD5AD8">
      <w:pPr>
        <w:pStyle w:val="ListParagraph"/>
        <w:numPr>
          <w:ilvl w:val="0"/>
          <w:numId w:val="1"/>
        </w:numPr>
        <w:rPr>
          <w:rFonts w:cs="Arial"/>
        </w:rPr>
      </w:pPr>
      <w:r w:rsidRPr="00267A5A">
        <w:rPr>
          <w:rFonts w:cs="Arial"/>
        </w:rPr>
        <w:t>Pupils residing in disadvantaged neighbourhoods also make less progress than those in more prosperous neighbourhoods. For example, pupils living in the most affluent 10% of neighb</w:t>
      </w:r>
      <w:r w:rsidR="001C7043">
        <w:rPr>
          <w:rFonts w:cs="Arial"/>
        </w:rPr>
        <w:t>ourhoods score, on average, 0.34</w:t>
      </w:r>
      <w:r w:rsidRPr="00267A5A">
        <w:rPr>
          <w:rFonts w:cs="Arial"/>
        </w:rPr>
        <w:t xml:space="preserve"> grades higher per subject than predicted by their prior attainment, while pupils living in the poorest </w:t>
      </w:r>
      <w:r w:rsidR="001C7043">
        <w:rPr>
          <w:rFonts w:cs="Arial"/>
        </w:rPr>
        <w:t xml:space="preserve">10% of neighbourhoods score 0.30 </w:t>
      </w:r>
      <w:r w:rsidRPr="00267A5A">
        <w:rPr>
          <w:rFonts w:cs="Arial"/>
        </w:rPr>
        <w:t xml:space="preserve">grades lower per subject than predicted. This social gradient is already present at the end of primary schooling and so widens over secondary schooling. </w:t>
      </w:r>
    </w:p>
    <w:p w14:paraId="19C3D92E" w14:textId="77777777" w:rsidR="00BA6903" w:rsidRPr="00267A5A" w:rsidRDefault="00BA6903" w:rsidP="00BA6903">
      <w:pPr>
        <w:pStyle w:val="ListParagraph"/>
        <w:rPr>
          <w:rFonts w:cs="Arial"/>
        </w:rPr>
      </w:pPr>
    </w:p>
    <w:p w14:paraId="096F7A27" w14:textId="77777777" w:rsidR="00BA6903" w:rsidRPr="00267A5A" w:rsidRDefault="00BA6903" w:rsidP="00BA6903">
      <w:pPr>
        <w:rPr>
          <w:rFonts w:cs="Arial"/>
        </w:rPr>
      </w:pPr>
    </w:p>
    <w:p w14:paraId="14ADE5BD" w14:textId="77777777" w:rsidR="00BA6903" w:rsidRPr="00267A5A" w:rsidRDefault="00BA6903" w:rsidP="00BA6903">
      <w:pPr>
        <w:rPr>
          <w:rFonts w:cs="Arial"/>
        </w:rPr>
      </w:pPr>
    </w:p>
    <w:p w14:paraId="6E5346A5" w14:textId="77777777" w:rsidR="00BA6903" w:rsidRPr="00267A5A" w:rsidRDefault="00BA6903" w:rsidP="00BA6903">
      <w:pPr>
        <w:rPr>
          <w:rFonts w:cs="Arial"/>
        </w:rPr>
      </w:pPr>
    </w:p>
    <w:p w14:paraId="0BCA109F" w14:textId="3531745B" w:rsidR="00BA6903" w:rsidRPr="00267A5A" w:rsidRDefault="0011667B" w:rsidP="00BA6903">
      <w:pPr>
        <w:rPr>
          <w:rFonts w:cs="Arial"/>
          <w:b/>
        </w:rPr>
      </w:pPr>
      <w:r>
        <w:rPr>
          <w:rFonts w:cs="Arial"/>
          <w:noProof/>
          <w:lang w:eastAsia="en-GB"/>
        </w:rPr>
        <w:lastRenderedPageBreak/>
        <w:drawing>
          <wp:anchor distT="0" distB="0" distL="114300" distR="114300" simplePos="0" relativeHeight="251665408" behindDoc="0" locked="0" layoutInCell="1" allowOverlap="1" wp14:anchorId="7798E1E7" wp14:editId="2AAF869F">
            <wp:simplePos x="0" y="0"/>
            <wp:positionH relativeFrom="margin">
              <wp:posOffset>5080</wp:posOffset>
            </wp:positionH>
            <wp:positionV relativeFrom="page">
              <wp:posOffset>1215390</wp:posOffset>
            </wp:positionV>
            <wp:extent cx="5731510" cy="3162300"/>
            <wp:effectExtent l="0" t="0" r="2540" b="0"/>
            <wp:wrapSquare wrapText="bothSides"/>
            <wp:docPr id="3" name="Picture 3" descr="Scatterplots of Progress 8 by Adjusted Progress for scores (left) and ranks (right). Results discussed in point 29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atterplots of Progress 8 by Adjusted Progress for scores (left) and ranks (right). Results discussed in point 29 in the tex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162300"/>
                    </a:xfrm>
                    <a:prstGeom prst="rect">
                      <a:avLst/>
                    </a:prstGeom>
                  </pic:spPr>
                </pic:pic>
              </a:graphicData>
            </a:graphic>
          </wp:anchor>
        </w:drawing>
      </w:r>
      <w:r w:rsidR="00BA6903" w:rsidRPr="00267A5A">
        <w:rPr>
          <w:rFonts w:cs="Arial"/>
          <w:b/>
        </w:rPr>
        <w:t>Figure 2. Scatterplots of school average Progress 8, and Adjusted Progress 8 scores and ranks</w:t>
      </w:r>
    </w:p>
    <w:p w14:paraId="41716121" w14:textId="36FE5D0D" w:rsidR="009061AE" w:rsidRPr="0011667B" w:rsidRDefault="00BA6903" w:rsidP="0011667B">
      <w:pPr>
        <w:pStyle w:val="ListParagraph"/>
        <w:numPr>
          <w:ilvl w:val="0"/>
          <w:numId w:val="1"/>
        </w:numPr>
        <w:spacing w:line="240" w:lineRule="auto"/>
        <w:rPr>
          <w:rFonts w:cs="Arial"/>
        </w:rPr>
      </w:pPr>
      <w:r w:rsidRPr="00267A5A">
        <w:rPr>
          <w:rFonts w:cs="Arial"/>
        </w:rPr>
        <w:t xml:space="preserve">The left-hand plot presents Adjusted Progress 8 scores against Progress 8 scores. The right-hand plot presents Adjusted Progress 8 ranks against Progress 8 ranks. </w:t>
      </w:r>
    </w:p>
    <w:p w14:paraId="35A7F68C" w14:textId="77777777" w:rsidR="009061AE" w:rsidRPr="00267A5A" w:rsidRDefault="009061AE" w:rsidP="00BA6903">
      <w:pPr>
        <w:pStyle w:val="ListParagraph"/>
        <w:spacing w:line="240" w:lineRule="auto"/>
        <w:rPr>
          <w:rFonts w:cs="Arial"/>
        </w:rPr>
      </w:pPr>
    </w:p>
    <w:p w14:paraId="07AA1E3F" w14:textId="77777777" w:rsidR="00BA6903" w:rsidRPr="00267A5A" w:rsidRDefault="009061AE" w:rsidP="009061AE">
      <w:pPr>
        <w:pStyle w:val="ListParagraph"/>
        <w:numPr>
          <w:ilvl w:val="0"/>
          <w:numId w:val="1"/>
        </w:numPr>
        <w:spacing w:line="240" w:lineRule="auto"/>
        <w:rPr>
          <w:rFonts w:cs="Arial"/>
        </w:rPr>
      </w:pPr>
      <w:r w:rsidRPr="00267A5A">
        <w:rPr>
          <w:rFonts w:cs="Arial"/>
        </w:rPr>
        <w:t>The Adjusted Progress 8 against the Progress 8 scatterplots show the strong associations (r</w:t>
      </w:r>
      <w:r w:rsidR="00FC7984" w:rsidRPr="00267A5A">
        <w:rPr>
          <w:rFonts w:cs="Arial"/>
        </w:rPr>
        <w:t xml:space="preserve">(Pearson) </w:t>
      </w:r>
      <w:r w:rsidRPr="00267A5A">
        <w:rPr>
          <w:rFonts w:cs="Arial"/>
        </w:rPr>
        <w:t>=</w:t>
      </w:r>
      <w:r w:rsidR="00FC7984" w:rsidRPr="00267A5A">
        <w:rPr>
          <w:rFonts w:cs="Arial"/>
        </w:rPr>
        <w:t xml:space="preserve"> </w:t>
      </w:r>
      <w:r w:rsidR="001C7043">
        <w:rPr>
          <w:rFonts w:cs="Arial"/>
        </w:rPr>
        <w:t>0.89</w:t>
      </w:r>
      <w:r w:rsidRPr="00267A5A">
        <w:rPr>
          <w:rFonts w:cs="Arial"/>
        </w:rPr>
        <w:t>; r</w:t>
      </w:r>
      <w:r w:rsidR="00FC7984" w:rsidRPr="00267A5A">
        <w:rPr>
          <w:rFonts w:cs="Arial"/>
        </w:rPr>
        <w:t xml:space="preserve">(Spearmen) </w:t>
      </w:r>
      <w:r w:rsidRPr="00267A5A">
        <w:rPr>
          <w:rFonts w:cs="Arial"/>
        </w:rPr>
        <w:t>=</w:t>
      </w:r>
      <w:r w:rsidR="00FC7984" w:rsidRPr="00267A5A">
        <w:rPr>
          <w:rFonts w:cs="Arial"/>
        </w:rPr>
        <w:t xml:space="preserve"> </w:t>
      </w:r>
      <w:r w:rsidR="00197F63">
        <w:rPr>
          <w:rFonts w:cs="Arial"/>
        </w:rPr>
        <w:t>0.89</w:t>
      </w:r>
      <w:r w:rsidRPr="00267A5A">
        <w:rPr>
          <w:rFonts w:cs="Arial"/>
        </w:rPr>
        <w:t>). However, school performance nonetheless differs greatly depending by which progress measure schools are judged. This is shown by the substantial number of schools located away from the 45-degree line in the right-hand plot.</w:t>
      </w:r>
    </w:p>
    <w:p w14:paraId="24571202" w14:textId="77777777" w:rsidR="009061AE" w:rsidRPr="00267A5A" w:rsidRDefault="009061AE" w:rsidP="009061AE">
      <w:pPr>
        <w:pStyle w:val="ListParagraph"/>
        <w:spacing w:line="240" w:lineRule="auto"/>
        <w:rPr>
          <w:rFonts w:cs="Arial"/>
        </w:rPr>
      </w:pPr>
    </w:p>
    <w:p w14:paraId="3B5A9644" w14:textId="77777777" w:rsidR="009061AE" w:rsidRPr="00267A5A" w:rsidRDefault="009061AE" w:rsidP="009061AE">
      <w:pPr>
        <w:pStyle w:val="ListParagraph"/>
        <w:numPr>
          <w:ilvl w:val="0"/>
          <w:numId w:val="1"/>
        </w:numPr>
        <w:spacing w:line="240" w:lineRule="auto"/>
        <w:rPr>
          <w:rFonts w:cs="Arial"/>
        </w:rPr>
      </w:pPr>
      <w:r w:rsidRPr="00267A5A">
        <w:rPr>
          <w:rFonts w:cs="Arial"/>
        </w:rPr>
        <w:t>Indeed, changing from Progress 8 to Ad</w:t>
      </w:r>
      <w:r w:rsidR="001607DA">
        <w:rPr>
          <w:rFonts w:cs="Arial"/>
        </w:rPr>
        <w:t xml:space="preserve">justed Progress 8 would lead 681 </w:t>
      </w:r>
      <w:r w:rsidR="00197F63">
        <w:rPr>
          <w:rFonts w:cs="Arial"/>
        </w:rPr>
        <w:t>schools (21</w:t>
      </w:r>
      <w:r w:rsidR="001C7043">
        <w:rPr>
          <w:rFonts w:cs="Arial"/>
        </w:rPr>
        <w:t>.4</w:t>
      </w:r>
      <w:r w:rsidRPr="00267A5A">
        <w:rPr>
          <w:rFonts w:cs="Arial"/>
        </w:rPr>
        <w:t>% of all schools in the country) to move up or down the national league tab</w:t>
      </w:r>
      <w:r w:rsidR="001607DA">
        <w:rPr>
          <w:rFonts w:cs="Arial"/>
        </w:rPr>
        <w:t>le by 500 or more ranks with 125 schools (3.9</w:t>
      </w:r>
      <w:r w:rsidRPr="00267A5A">
        <w:rPr>
          <w:rFonts w:cs="Arial"/>
        </w:rPr>
        <w:t>%) moving over 1,000 ranks. Bearing in mind that there a</w:t>
      </w:r>
      <w:r w:rsidR="00197F63">
        <w:rPr>
          <w:rFonts w:cs="Arial"/>
        </w:rPr>
        <w:t xml:space="preserve">re only around </w:t>
      </w:r>
      <w:r w:rsidR="006B6A56">
        <w:rPr>
          <w:rFonts w:cs="Arial"/>
        </w:rPr>
        <w:t>3,0</w:t>
      </w:r>
      <w:r w:rsidR="00197F63">
        <w:rPr>
          <w:rFonts w:cs="Arial"/>
        </w:rPr>
        <w:t>00</w:t>
      </w:r>
      <w:r w:rsidRPr="00267A5A">
        <w:rPr>
          <w:rFonts w:cs="Arial"/>
        </w:rPr>
        <w:t xml:space="preserve"> secondary schools nationally, these changes are very large indeed. </w:t>
      </w:r>
    </w:p>
    <w:p w14:paraId="1D4389BE" w14:textId="77777777" w:rsidR="009061AE" w:rsidRPr="00267A5A" w:rsidRDefault="009061AE" w:rsidP="009061AE">
      <w:pPr>
        <w:pStyle w:val="ListParagraph"/>
        <w:rPr>
          <w:rFonts w:cs="Arial"/>
        </w:rPr>
      </w:pPr>
    </w:p>
    <w:p w14:paraId="43080C19" w14:textId="77777777" w:rsidR="009061AE" w:rsidRPr="00267A5A" w:rsidRDefault="009061AE" w:rsidP="009061AE">
      <w:pPr>
        <w:spacing w:line="240" w:lineRule="auto"/>
        <w:rPr>
          <w:rFonts w:cs="Arial"/>
        </w:rPr>
      </w:pPr>
    </w:p>
    <w:p w14:paraId="26C4FF43" w14:textId="77777777" w:rsidR="009061AE" w:rsidRPr="00267A5A" w:rsidRDefault="009061AE" w:rsidP="009061AE">
      <w:pPr>
        <w:spacing w:line="240" w:lineRule="auto"/>
        <w:rPr>
          <w:rFonts w:cs="Arial"/>
        </w:rPr>
      </w:pPr>
    </w:p>
    <w:p w14:paraId="6E81818F" w14:textId="77777777" w:rsidR="009061AE" w:rsidRPr="00267A5A" w:rsidRDefault="009061AE" w:rsidP="009061AE">
      <w:pPr>
        <w:spacing w:line="240" w:lineRule="auto"/>
        <w:rPr>
          <w:rFonts w:cs="Arial"/>
        </w:rPr>
      </w:pPr>
    </w:p>
    <w:p w14:paraId="79542B14" w14:textId="77777777" w:rsidR="009061AE" w:rsidRPr="00267A5A" w:rsidRDefault="009061AE" w:rsidP="009061AE">
      <w:pPr>
        <w:spacing w:line="240" w:lineRule="auto"/>
        <w:rPr>
          <w:rFonts w:cs="Arial"/>
        </w:rPr>
      </w:pPr>
    </w:p>
    <w:p w14:paraId="2D05A045" w14:textId="77777777" w:rsidR="009061AE" w:rsidRPr="00267A5A" w:rsidRDefault="009061AE" w:rsidP="009061AE">
      <w:pPr>
        <w:spacing w:line="240" w:lineRule="auto"/>
        <w:rPr>
          <w:rFonts w:cs="Arial"/>
        </w:rPr>
      </w:pPr>
    </w:p>
    <w:p w14:paraId="4BE2303C" w14:textId="77777777" w:rsidR="009061AE" w:rsidRPr="00267A5A" w:rsidRDefault="009061AE" w:rsidP="009061AE">
      <w:pPr>
        <w:spacing w:line="240" w:lineRule="auto"/>
        <w:rPr>
          <w:rFonts w:cs="Arial"/>
        </w:rPr>
      </w:pPr>
    </w:p>
    <w:p w14:paraId="3F615E57" w14:textId="77777777" w:rsidR="009061AE" w:rsidRPr="00267A5A" w:rsidRDefault="009061AE" w:rsidP="009061AE">
      <w:pPr>
        <w:spacing w:line="240" w:lineRule="auto"/>
        <w:rPr>
          <w:rFonts w:cs="Arial"/>
        </w:rPr>
      </w:pPr>
    </w:p>
    <w:p w14:paraId="156D02B4" w14:textId="77777777" w:rsidR="009061AE" w:rsidRPr="00267A5A" w:rsidRDefault="009061AE" w:rsidP="009061AE">
      <w:pPr>
        <w:spacing w:line="240" w:lineRule="auto"/>
        <w:rPr>
          <w:rFonts w:cs="Arial"/>
        </w:rPr>
      </w:pPr>
    </w:p>
    <w:p w14:paraId="120D77BA" w14:textId="77777777" w:rsidR="009061AE" w:rsidRPr="00267A5A" w:rsidRDefault="009061AE" w:rsidP="009061AE">
      <w:pPr>
        <w:spacing w:line="240" w:lineRule="auto"/>
        <w:rPr>
          <w:rFonts w:cs="Arial"/>
        </w:rPr>
      </w:pPr>
    </w:p>
    <w:p w14:paraId="29B6E739" w14:textId="77777777" w:rsidR="009061AE" w:rsidRPr="00267A5A" w:rsidRDefault="009061AE" w:rsidP="009061AE">
      <w:pPr>
        <w:spacing w:line="240" w:lineRule="auto"/>
        <w:rPr>
          <w:rFonts w:cs="Arial"/>
        </w:rPr>
      </w:pPr>
    </w:p>
    <w:p w14:paraId="68D14893" w14:textId="77777777" w:rsidR="009061AE" w:rsidRPr="00267A5A" w:rsidRDefault="009061AE" w:rsidP="009061AE">
      <w:pPr>
        <w:spacing w:line="240" w:lineRule="auto"/>
        <w:rPr>
          <w:rFonts w:cs="Arial"/>
        </w:rPr>
      </w:pPr>
    </w:p>
    <w:p w14:paraId="2FC5E5F7" w14:textId="77777777" w:rsidR="00786282" w:rsidRPr="00267A5A" w:rsidRDefault="00786282" w:rsidP="00786282">
      <w:pPr>
        <w:pStyle w:val="ListParagraph"/>
        <w:numPr>
          <w:ilvl w:val="0"/>
          <w:numId w:val="1"/>
        </w:numPr>
        <w:spacing w:line="240" w:lineRule="auto"/>
        <w:rPr>
          <w:rFonts w:cs="Arial"/>
        </w:rPr>
      </w:pPr>
      <w:r w:rsidRPr="00267A5A">
        <w:rPr>
          <w:rFonts w:cs="Arial"/>
        </w:rPr>
        <w:lastRenderedPageBreak/>
        <w:t xml:space="preserve">The rows of the table are the five bandings of Progress 8. The columns are the five bandings of adjusted Progress 8. The percentages in each row sum to 100%. They show the percentage of schools in each Progress 8 banding who would move to a different banding under Adjusted Progress 8. </w:t>
      </w:r>
    </w:p>
    <w:p w14:paraId="5614067A" w14:textId="7CCFECCD" w:rsidR="00786282" w:rsidRPr="0011667B" w:rsidRDefault="0011667B" w:rsidP="00AD5302">
      <w:pPr>
        <w:spacing w:line="240" w:lineRule="auto"/>
        <w:rPr>
          <w:rFonts w:cs="Arial"/>
          <w:b/>
        </w:rPr>
      </w:pPr>
      <w:r w:rsidRPr="0011667B">
        <w:rPr>
          <w:rFonts w:cs="Arial"/>
          <w:b/>
        </w:rPr>
        <w:t xml:space="preserve">Table 1. Cross-tabulation of school Progress 8 bandings by school Adjusted Progress 8 bandings. </w:t>
      </w:r>
    </w:p>
    <w:tbl>
      <w:tblPr>
        <w:tblW w:w="8833" w:type="dxa"/>
        <w:tblLook w:val="04A0" w:firstRow="1" w:lastRow="0" w:firstColumn="1" w:lastColumn="0" w:noHBand="0" w:noVBand="1"/>
      </w:tblPr>
      <w:tblGrid>
        <w:gridCol w:w="2279"/>
        <w:gridCol w:w="1173"/>
        <w:gridCol w:w="1083"/>
        <w:gridCol w:w="1069"/>
        <w:gridCol w:w="1060"/>
        <w:gridCol w:w="1086"/>
        <w:gridCol w:w="1083"/>
      </w:tblGrid>
      <w:tr w:rsidR="00804B18" w:rsidRPr="008170B3" w14:paraId="77F6160A" w14:textId="77777777" w:rsidTr="00786282">
        <w:trPr>
          <w:trHeight w:val="317"/>
        </w:trPr>
        <w:tc>
          <w:tcPr>
            <w:tcW w:w="2279" w:type="dxa"/>
            <w:tcBorders>
              <w:top w:val="single" w:sz="4" w:space="0" w:color="auto"/>
              <w:left w:val="nil"/>
              <w:right w:val="nil"/>
            </w:tcBorders>
            <w:shd w:val="clear" w:color="auto" w:fill="auto"/>
            <w:noWrap/>
            <w:vAlign w:val="bottom"/>
            <w:hideMark/>
          </w:tcPr>
          <w:p w14:paraId="594956AD"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 </w:t>
            </w:r>
          </w:p>
        </w:tc>
        <w:tc>
          <w:tcPr>
            <w:tcW w:w="5471" w:type="dxa"/>
            <w:gridSpan w:val="5"/>
            <w:tcBorders>
              <w:top w:val="single" w:sz="4" w:space="0" w:color="auto"/>
              <w:left w:val="nil"/>
              <w:bottom w:val="single" w:sz="4" w:space="0" w:color="auto"/>
              <w:right w:val="nil"/>
            </w:tcBorders>
            <w:shd w:val="clear" w:color="auto" w:fill="auto"/>
            <w:noWrap/>
            <w:vAlign w:val="bottom"/>
            <w:hideMark/>
          </w:tcPr>
          <w:p w14:paraId="6D8F1B50"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Adjusted Progress 8 banding</w:t>
            </w:r>
          </w:p>
        </w:tc>
        <w:tc>
          <w:tcPr>
            <w:tcW w:w="1083" w:type="dxa"/>
            <w:tcBorders>
              <w:top w:val="single" w:sz="4" w:space="0" w:color="auto"/>
              <w:left w:val="nil"/>
              <w:bottom w:val="single" w:sz="4" w:space="0" w:color="auto"/>
              <w:right w:val="nil"/>
            </w:tcBorders>
            <w:shd w:val="clear" w:color="auto" w:fill="auto"/>
            <w:noWrap/>
            <w:vAlign w:val="bottom"/>
            <w:hideMark/>
          </w:tcPr>
          <w:p w14:paraId="2617BE8E"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 </w:t>
            </w:r>
          </w:p>
        </w:tc>
      </w:tr>
      <w:tr w:rsidR="00804B18" w:rsidRPr="008170B3" w14:paraId="5AFBC730" w14:textId="77777777" w:rsidTr="00A05085">
        <w:trPr>
          <w:trHeight w:val="635"/>
        </w:trPr>
        <w:tc>
          <w:tcPr>
            <w:tcW w:w="2279" w:type="dxa"/>
            <w:tcBorders>
              <w:top w:val="nil"/>
              <w:left w:val="nil"/>
              <w:bottom w:val="single" w:sz="4" w:space="0" w:color="auto"/>
              <w:right w:val="nil"/>
            </w:tcBorders>
            <w:shd w:val="clear" w:color="auto" w:fill="auto"/>
            <w:noWrap/>
            <w:vAlign w:val="bottom"/>
            <w:hideMark/>
          </w:tcPr>
          <w:p w14:paraId="36B87046"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Progress 8 banding</w:t>
            </w:r>
          </w:p>
        </w:tc>
        <w:tc>
          <w:tcPr>
            <w:tcW w:w="1173" w:type="dxa"/>
            <w:tcBorders>
              <w:top w:val="nil"/>
              <w:left w:val="nil"/>
              <w:bottom w:val="single" w:sz="4" w:space="0" w:color="auto"/>
              <w:right w:val="nil"/>
            </w:tcBorders>
            <w:shd w:val="clear" w:color="auto" w:fill="auto"/>
            <w:hideMark/>
          </w:tcPr>
          <w:p w14:paraId="5CB803F8"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 xml:space="preserve">Well below </w:t>
            </w:r>
          </w:p>
        </w:tc>
        <w:tc>
          <w:tcPr>
            <w:tcW w:w="1083" w:type="dxa"/>
            <w:tcBorders>
              <w:top w:val="nil"/>
              <w:left w:val="nil"/>
              <w:bottom w:val="single" w:sz="4" w:space="0" w:color="auto"/>
              <w:right w:val="nil"/>
            </w:tcBorders>
            <w:shd w:val="clear" w:color="auto" w:fill="auto"/>
            <w:hideMark/>
          </w:tcPr>
          <w:p w14:paraId="1A7D396E"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Below</w:t>
            </w:r>
          </w:p>
        </w:tc>
        <w:tc>
          <w:tcPr>
            <w:tcW w:w="1069" w:type="dxa"/>
            <w:tcBorders>
              <w:top w:val="nil"/>
              <w:left w:val="nil"/>
              <w:bottom w:val="single" w:sz="4" w:space="0" w:color="auto"/>
              <w:right w:val="nil"/>
            </w:tcBorders>
            <w:shd w:val="clear" w:color="auto" w:fill="auto"/>
            <w:hideMark/>
          </w:tcPr>
          <w:p w14:paraId="5110FFDC"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 xml:space="preserve">Average  </w:t>
            </w:r>
          </w:p>
        </w:tc>
        <w:tc>
          <w:tcPr>
            <w:tcW w:w="1060" w:type="dxa"/>
            <w:tcBorders>
              <w:top w:val="nil"/>
              <w:left w:val="nil"/>
              <w:bottom w:val="single" w:sz="4" w:space="0" w:color="auto"/>
              <w:right w:val="nil"/>
            </w:tcBorders>
            <w:shd w:val="clear" w:color="auto" w:fill="auto"/>
            <w:hideMark/>
          </w:tcPr>
          <w:p w14:paraId="14347F07"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Above</w:t>
            </w:r>
          </w:p>
        </w:tc>
        <w:tc>
          <w:tcPr>
            <w:tcW w:w="1086" w:type="dxa"/>
            <w:tcBorders>
              <w:top w:val="nil"/>
              <w:left w:val="nil"/>
              <w:bottom w:val="single" w:sz="4" w:space="0" w:color="auto"/>
              <w:right w:val="nil"/>
            </w:tcBorders>
            <w:shd w:val="clear" w:color="auto" w:fill="auto"/>
            <w:hideMark/>
          </w:tcPr>
          <w:p w14:paraId="3CF9FCCB"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 xml:space="preserve">Well above </w:t>
            </w:r>
          </w:p>
        </w:tc>
        <w:tc>
          <w:tcPr>
            <w:tcW w:w="1083" w:type="dxa"/>
            <w:tcBorders>
              <w:top w:val="nil"/>
              <w:left w:val="nil"/>
              <w:bottom w:val="single" w:sz="4" w:space="0" w:color="auto"/>
              <w:right w:val="nil"/>
            </w:tcBorders>
            <w:shd w:val="clear" w:color="auto" w:fill="auto"/>
            <w:noWrap/>
            <w:hideMark/>
          </w:tcPr>
          <w:p w14:paraId="5D63DC00"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Total</w:t>
            </w:r>
          </w:p>
        </w:tc>
      </w:tr>
      <w:tr w:rsidR="00A05085" w:rsidRPr="008170B3" w14:paraId="1C96C101" w14:textId="77777777" w:rsidTr="00A05085">
        <w:trPr>
          <w:trHeight w:val="317"/>
        </w:trPr>
        <w:tc>
          <w:tcPr>
            <w:tcW w:w="2279" w:type="dxa"/>
            <w:vMerge w:val="restart"/>
            <w:tcBorders>
              <w:top w:val="single" w:sz="4" w:space="0" w:color="auto"/>
            </w:tcBorders>
            <w:shd w:val="clear" w:color="auto" w:fill="auto"/>
            <w:noWrap/>
            <w:hideMark/>
          </w:tcPr>
          <w:p w14:paraId="08155874" w14:textId="77777777" w:rsidR="00A05085" w:rsidRPr="008170B3" w:rsidRDefault="00A05085" w:rsidP="00A05085">
            <w:pPr>
              <w:spacing w:after="100" w:afterAutospacing="1" w:line="240" w:lineRule="auto"/>
              <w:rPr>
                <w:rFonts w:eastAsia="Times New Roman" w:cs="Times New Roman"/>
                <w:color w:val="000000"/>
                <w:lang w:eastAsia="en-GB"/>
              </w:rPr>
            </w:pPr>
            <w:r w:rsidRPr="008170B3">
              <w:rPr>
                <w:rFonts w:eastAsia="Times New Roman" w:cs="Times New Roman"/>
                <w:color w:val="000000"/>
                <w:lang w:eastAsia="en-GB"/>
              </w:rPr>
              <w:t>Well above average</w:t>
            </w:r>
          </w:p>
        </w:tc>
        <w:tc>
          <w:tcPr>
            <w:tcW w:w="1173" w:type="dxa"/>
            <w:tcBorders>
              <w:top w:val="single" w:sz="4" w:space="0" w:color="auto"/>
            </w:tcBorders>
            <w:shd w:val="clear" w:color="auto" w:fill="auto"/>
            <w:noWrap/>
            <w:vAlign w:val="bottom"/>
            <w:hideMark/>
          </w:tcPr>
          <w:p w14:paraId="35EF0FB7"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w:t>
            </w:r>
          </w:p>
        </w:tc>
        <w:tc>
          <w:tcPr>
            <w:tcW w:w="1083" w:type="dxa"/>
            <w:tcBorders>
              <w:top w:val="single" w:sz="4" w:space="0" w:color="auto"/>
            </w:tcBorders>
            <w:shd w:val="clear" w:color="auto" w:fill="auto"/>
            <w:noWrap/>
            <w:vAlign w:val="bottom"/>
            <w:hideMark/>
          </w:tcPr>
          <w:p w14:paraId="2F3AB473"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w:t>
            </w:r>
          </w:p>
        </w:tc>
        <w:tc>
          <w:tcPr>
            <w:tcW w:w="1069" w:type="dxa"/>
            <w:tcBorders>
              <w:top w:val="single" w:sz="4" w:space="0" w:color="auto"/>
            </w:tcBorders>
            <w:shd w:val="clear" w:color="auto" w:fill="auto"/>
            <w:noWrap/>
            <w:vAlign w:val="bottom"/>
            <w:hideMark/>
          </w:tcPr>
          <w:p w14:paraId="7A2978DD"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45</w:t>
            </w:r>
          </w:p>
        </w:tc>
        <w:tc>
          <w:tcPr>
            <w:tcW w:w="1060" w:type="dxa"/>
            <w:tcBorders>
              <w:top w:val="single" w:sz="4" w:space="0" w:color="auto"/>
            </w:tcBorders>
            <w:shd w:val="clear" w:color="auto" w:fill="auto"/>
            <w:noWrap/>
            <w:vAlign w:val="bottom"/>
            <w:hideMark/>
          </w:tcPr>
          <w:p w14:paraId="240EB55E"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170</w:t>
            </w:r>
          </w:p>
        </w:tc>
        <w:tc>
          <w:tcPr>
            <w:tcW w:w="1086" w:type="dxa"/>
            <w:tcBorders>
              <w:top w:val="single" w:sz="4" w:space="0" w:color="auto"/>
            </w:tcBorders>
            <w:shd w:val="clear" w:color="auto" w:fill="auto"/>
            <w:noWrap/>
            <w:vAlign w:val="bottom"/>
            <w:hideMark/>
          </w:tcPr>
          <w:p w14:paraId="63508D05"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232</w:t>
            </w:r>
          </w:p>
        </w:tc>
        <w:tc>
          <w:tcPr>
            <w:tcW w:w="1083" w:type="dxa"/>
            <w:tcBorders>
              <w:top w:val="single" w:sz="4" w:space="0" w:color="auto"/>
            </w:tcBorders>
            <w:shd w:val="clear" w:color="auto" w:fill="auto"/>
            <w:noWrap/>
            <w:vAlign w:val="bottom"/>
            <w:hideMark/>
          </w:tcPr>
          <w:p w14:paraId="243EE9A9"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447</w:t>
            </w:r>
          </w:p>
        </w:tc>
      </w:tr>
      <w:tr w:rsidR="00A05085" w:rsidRPr="008170B3" w14:paraId="21AD26CF" w14:textId="77777777" w:rsidTr="00A05085">
        <w:trPr>
          <w:trHeight w:val="317"/>
        </w:trPr>
        <w:tc>
          <w:tcPr>
            <w:tcW w:w="2279" w:type="dxa"/>
            <w:vMerge/>
            <w:shd w:val="clear" w:color="auto" w:fill="auto"/>
            <w:noWrap/>
            <w:vAlign w:val="bottom"/>
            <w:hideMark/>
          </w:tcPr>
          <w:p w14:paraId="5E76F736" w14:textId="77777777" w:rsidR="00A05085" w:rsidRPr="008170B3" w:rsidRDefault="00A05085" w:rsidP="00A05085">
            <w:pPr>
              <w:spacing w:after="100" w:afterAutospacing="1" w:line="240" w:lineRule="auto"/>
              <w:jc w:val="right"/>
              <w:rPr>
                <w:rFonts w:eastAsia="Times New Roman" w:cs="Times New Roman"/>
                <w:color w:val="000000"/>
                <w:lang w:eastAsia="en-GB"/>
              </w:rPr>
            </w:pPr>
          </w:p>
        </w:tc>
        <w:tc>
          <w:tcPr>
            <w:tcW w:w="1173" w:type="dxa"/>
            <w:shd w:val="clear" w:color="auto" w:fill="auto"/>
            <w:noWrap/>
            <w:vAlign w:val="bottom"/>
            <w:hideMark/>
          </w:tcPr>
          <w:p w14:paraId="14F6C722"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0.0%</w:t>
            </w:r>
          </w:p>
        </w:tc>
        <w:tc>
          <w:tcPr>
            <w:tcW w:w="1083" w:type="dxa"/>
            <w:shd w:val="clear" w:color="auto" w:fill="auto"/>
            <w:noWrap/>
            <w:vAlign w:val="bottom"/>
            <w:hideMark/>
          </w:tcPr>
          <w:p w14:paraId="5A422822"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0.0%</w:t>
            </w:r>
          </w:p>
        </w:tc>
        <w:tc>
          <w:tcPr>
            <w:tcW w:w="1069" w:type="dxa"/>
            <w:shd w:val="clear" w:color="auto" w:fill="auto"/>
            <w:noWrap/>
            <w:vAlign w:val="bottom"/>
            <w:hideMark/>
          </w:tcPr>
          <w:p w14:paraId="370A96D0"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10.1%</w:t>
            </w:r>
          </w:p>
        </w:tc>
        <w:tc>
          <w:tcPr>
            <w:tcW w:w="1060" w:type="dxa"/>
            <w:shd w:val="clear" w:color="auto" w:fill="auto"/>
            <w:noWrap/>
            <w:vAlign w:val="bottom"/>
            <w:hideMark/>
          </w:tcPr>
          <w:p w14:paraId="2C488A12"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38.0%</w:t>
            </w:r>
          </w:p>
        </w:tc>
        <w:tc>
          <w:tcPr>
            <w:tcW w:w="1086" w:type="dxa"/>
            <w:shd w:val="clear" w:color="auto" w:fill="auto"/>
            <w:noWrap/>
            <w:vAlign w:val="bottom"/>
            <w:hideMark/>
          </w:tcPr>
          <w:p w14:paraId="75E5AC94"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51.9%</w:t>
            </w:r>
          </w:p>
        </w:tc>
        <w:tc>
          <w:tcPr>
            <w:tcW w:w="1083" w:type="dxa"/>
            <w:shd w:val="clear" w:color="auto" w:fill="auto"/>
            <w:noWrap/>
            <w:vAlign w:val="bottom"/>
            <w:hideMark/>
          </w:tcPr>
          <w:p w14:paraId="071A9405"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100%</w:t>
            </w:r>
          </w:p>
        </w:tc>
      </w:tr>
      <w:tr w:rsidR="00A05085" w:rsidRPr="008170B3" w14:paraId="20DF5712" w14:textId="77777777" w:rsidTr="00A05085">
        <w:trPr>
          <w:trHeight w:val="317"/>
        </w:trPr>
        <w:tc>
          <w:tcPr>
            <w:tcW w:w="2279" w:type="dxa"/>
            <w:vMerge w:val="restart"/>
            <w:shd w:val="clear" w:color="auto" w:fill="auto"/>
            <w:noWrap/>
            <w:hideMark/>
          </w:tcPr>
          <w:p w14:paraId="0AB6A660" w14:textId="77777777" w:rsidR="00A05085" w:rsidRPr="008170B3" w:rsidRDefault="00A05085" w:rsidP="00A05085">
            <w:pPr>
              <w:spacing w:after="100" w:afterAutospacing="1" w:line="240" w:lineRule="auto"/>
              <w:rPr>
                <w:rFonts w:eastAsia="Times New Roman" w:cs="Times New Roman"/>
                <w:color w:val="000000"/>
                <w:lang w:eastAsia="en-GB"/>
              </w:rPr>
            </w:pPr>
            <w:r w:rsidRPr="008170B3">
              <w:rPr>
                <w:rFonts w:eastAsia="Times New Roman" w:cs="Times New Roman"/>
                <w:color w:val="000000"/>
                <w:lang w:eastAsia="en-GB"/>
              </w:rPr>
              <w:t>Above average</w:t>
            </w:r>
          </w:p>
        </w:tc>
        <w:tc>
          <w:tcPr>
            <w:tcW w:w="1173" w:type="dxa"/>
            <w:shd w:val="clear" w:color="auto" w:fill="auto"/>
            <w:noWrap/>
            <w:vAlign w:val="bottom"/>
            <w:hideMark/>
          </w:tcPr>
          <w:p w14:paraId="1C1955D1"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w:t>
            </w:r>
          </w:p>
        </w:tc>
        <w:tc>
          <w:tcPr>
            <w:tcW w:w="1083" w:type="dxa"/>
            <w:shd w:val="clear" w:color="auto" w:fill="auto"/>
            <w:noWrap/>
            <w:vAlign w:val="bottom"/>
            <w:hideMark/>
          </w:tcPr>
          <w:p w14:paraId="12FDFB76"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7</w:t>
            </w:r>
          </w:p>
        </w:tc>
        <w:tc>
          <w:tcPr>
            <w:tcW w:w="1069" w:type="dxa"/>
            <w:shd w:val="clear" w:color="auto" w:fill="auto"/>
            <w:noWrap/>
            <w:vAlign w:val="bottom"/>
            <w:hideMark/>
          </w:tcPr>
          <w:p w14:paraId="34A48AC0"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165</w:t>
            </w:r>
          </w:p>
        </w:tc>
        <w:tc>
          <w:tcPr>
            <w:tcW w:w="1060" w:type="dxa"/>
            <w:shd w:val="clear" w:color="auto" w:fill="auto"/>
            <w:noWrap/>
            <w:vAlign w:val="bottom"/>
            <w:hideMark/>
          </w:tcPr>
          <w:p w14:paraId="276BBA06"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293</w:t>
            </w:r>
          </w:p>
        </w:tc>
        <w:tc>
          <w:tcPr>
            <w:tcW w:w="1086" w:type="dxa"/>
            <w:shd w:val="clear" w:color="auto" w:fill="auto"/>
            <w:noWrap/>
            <w:vAlign w:val="bottom"/>
            <w:hideMark/>
          </w:tcPr>
          <w:p w14:paraId="6ACC3C96"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63</w:t>
            </w:r>
          </w:p>
        </w:tc>
        <w:tc>
          <w:tcPr>
            <w:tcW w:w="1083" w:type="dxa"/>
            <w:shd w:val="clear" w:color="auto" w:fill="auto"/>
            <w:noWrap/>
            <w:vAlign w:val="bottom"/>
            <w:hideMark/>
          </w:tcPr>
          <w:p w14:paraId="383D407A"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528</w:t>
            </w:r>
          </w:p>
        </w:tc>
      </w:tr>
      <w:tr w:rsidR="00A05085" w:rsidRPr="008170B3" w14:paraId="1A328E56" w14:textId="77777777" w:rsidTr="00A05085">
        <w:trPr>
          <w:trHeight w:val="317"/>
        </w:trPr>
        <w:tc>
          <w:tcPr>
            <w:tcW w:w="2279" w:type="dxa"/>
            <w:vMerge/>
            <w:shd w:val="clear" w:color="auto" w:fill="auto"/>
            <w:noWrap/>
            <w:vAlign w:val="bottom"/>
            <w:hideMark/>
          </w:tcPr>
          <w:p w14:paraId="331C23B5" w14:textId="77777777" w:rsidR="00A05085" w:rsidRPr="008170B3" w:rsidRDefault="00A05085" w:rsidP="00A05085">
            <w:pPr>
              <w:spacing w:after="100" w:afterAutospacing="1" w:line="240" w:lineRule="auto"/>
              <w:jc w:val="right"/>
              <w:rPr>
                <w:rFonts w:eastAsia="Times New Roman" w:cs="Times New Roman"/>
                <w:color w:val="000000"/>
                <w:lang w:eastAsia="en-GB"/>
              </w:rPr>
            </w:pPr>
          </w:p>
        </w:tc>
        <w:tc>
          <w:tcPr>
            <w:tcW w:w="1173" w:type="dxa"/>
            <w:shd w:val="clear" w:color="auto" w:fill="auto"/>
            <w:noWrap/>
            <w:vAlign w:val="bottom"/>
            <w:hideMark/>
          </w:tcPr>
          <w:p w14:paraId="5992AC3F"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0.0%</w:t>
            </w:r>
          </w:p>
        </w:tc>
        <w:tc>
          <w:tcPr>
            <w:tcW w:w="1083" w:type="dxa"/>
            <w:shd w:val="clear" w:color="auto" w:fill="auto"/>
            <w:noWrap/>
            <w:vAlign w:val="bottom"/>
            <w:hideMark/>
          </w:tcPr>
          <w:p w14:paraId="6AE6D064"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1.3%</w:t>
            </w:r>
          </w:p>
        </w:tc>
        <w:tc>
          <w:tcPr>
            <w:tcW w:w="1069" w:type="dxa"/>
            <w:shd w:val="clear" w:color="auto" w:fill="auto"/>
            <w:noWrap/>
            <w:vAlign w:val="bottom"/>
            <w:hideMark/>
          </w:tcPr>
          <w:p w14:paraId="33D56E8F"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31.3%</w:t>
            </w:r>
          </w:p>
        </w:tc>
        <w:tc>
          <w:tcPr>
            <w:tcW w:w="1060" w:type="dxa"/>
            <w:shd w:val="clear" w:color="auto" w:fill="auto"/>
            <w:noWrap/>
            <w:vAlign w:val="bottom"/>
            <w:hideMark/>
          </w:tcPr>
          <w:p w14:paraId="1DFF42E3"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55.5%</w:t>
            </w:r>
          </w:p>
        </w:tc>
        <w:tc>
          <w:tcPr>
            <w:tcW w:w="1086" w:type="dxa"/>
            <w:shd w:val="clear" w:color="auto" w:fill="auto"/>
            <w:noWrap/>
            <w:vAlign w:val="bottom"/>
            <w:hideMark/>
          </w:tcPr>
          <w:p w14:paraId="64B5B742"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11.9%</w:t>
            </w:r>
          </w:p>
        </w:tc>
        <w:tc>
          <w:tcPr>
            <w:tcW w:w="1083" w:type="dxa"/>
            <w:shd w:val="clear" w:color="auto" w:fill="auto"/>
            <w:noWrap/>
            <w:vAlign w:val="bottom"/>
            <w:hideMark/>
          </w:tcPr>
          <w:p w14:paraId="2A44530B"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100%</w:t>
            </w:r>
          </w:p>
        </w:tc>
      </w:tr>
      <w:tr w:rsidR="00A05085" w:rsidRPr="008170B3" w14:paraId="7066B91E" w14:textId="77777777" w:rsidTr="00A05085">
        <w:trPr>
          <w:trHeight w:val="317"/>
        </w:trPr>
        <w:tc>
          <w:tcPr>
            <w:tcW w:w="2279" w:type="dxa"/>
            <w:vMerge w:val="restart"/>
            <w:shd w:val="clear" w:color="auto" w:fill="auto"/>
            <w:noWrap/>
            <w:hideMark/>
          </w:tcPr>
          <w:p w14:paraId="208B3BB5" w14:textId="77777777" w:rsidR="00A05085" w:rsidRPr="008170B3" w:rsidRDefault="00A05085" w:rsidP="00A05085">
            <w:pPr>
              <w:spacing w:after="100" w:afterAutospacing="1" w:line="240" w:lineRule="auto"/>
              <w:rPr>
                <w:rFonts w:eastAsia="Times New Roman" w:cs="Times New Roman"/>
                <w:color w:val="000000"/>
                <w:lang w:eastAsia="en-GB"/>
              </w:rPr>
            </w:pPr>
            <w:r w:rsidRPr="008170B3">
              <w:rPr>
                <w:rFonts w:eastAsia="Times New Roman" w:cs="Times New Roman"/>
                <w:color w:val="000000"/>
                <w:lang w:eastAsia="en-GB"/>
              </w:rPr>
              <w:t>Average</w:t>
            </w:r>
          </w:p>
        </w:tc>
        <w:tc>
          <w:tcPr>
            <w:tcW w:w="1173" w:type="dxa"/>
            <w:shd w:val="clear" w:color="auto" w:fill="auto"/>
            <w:noWrap/>
            <w:vAlign w:val="bottom"/>
            <w:hideMark/>
          </w:tcPr>
          <w:p w14:paraId="187E46A7"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3</w:t>
            </w:r>
          </w:p>
        </w:tc>
        <w:tc>
          <w:tcPr>
            <w:tcW w:w="1083" w:type="dxa"/>
            <w:shd w:val="clear" w:color="auto" w:fill="auto"/>
            <w:noWrap/>
            <w:vAlign w:val="bottom"/>
            <w:hideMark/>
          </w:tcPr>
          <w:p w14:paraId="3F693B7A"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141</w:t>
            </w:r>
          </w:p>
        </w:tc>
        <w:tc>
          <w:tcPr>
            <w:tcW w:w="1069" w:type="dxa"/>
            <w:shd w:val="clear" w:color="auto" w:fill="auto"/>
            <w:noWrap/>
            <w:vAlign w:val="bottom"/>
            <w:hideMark/>
          </w:tcPr>
          <w:p w14:paraId="431B83BF"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855</w:t>
            </w:r>
          </w:p>
        </w:tc>
        <w:tc>
          <w:tcPr>
            <w:tcW w:w="1060" w:type="dxa"/>
            <w:shd w:val="clear" w:color="auto" w:fill="auto"/>
            <w:noWrap/>
            <w:vAlign w:val="bottom"/>
            <w:hideMark/>
          </w:tcPr>
          <w:p w14:paraId="119A1AB8"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164</w:t>
            </w:r>
          </w:p>
        </w:tc>
        <w:tc>
          <w:tcPr>
            <w:tcW w:w="1086" w:type="dxa"/>
            <w:shd w:val="clear" w:color="auto" w:fill="auto"/>
            <w:noWrap/>
            <w:vAlign w:val="bottom"/>
            <w:hideMark/>
          </w:tcPr>
          <w:p w14:paraId="5FFFC0A3"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7</w:t>
            </w:r>
          </w:p>
        </w:tc>
        <w:tc>
          <w:tcPr>
            <w:tcW w:w="1083" w:type="dxa"/>
            <w:shd w:val="clear" w:color="auto" w:fill="auto"/>
            <w:noWrap/>
            <w:vAlign w:val="bottom"/>
            <w:hideMark/>
          </w:tcPr>
          <w:p w14:paraId="718E051A"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1,170</w:t>
            </w:r>
          </w:p>
        </w:tc>
      </w:tr>
      <w:tr w:rsidR="00A05085" w:rsidRPr="008170B3" w14:paraId="0186F22E" w14:textId="77777777" w:rsidTr="00A05085">
        <w:trPr>
          <w:trHeight w:val="317"/>
        </w:trPr>
        <w:tc>
          <w:tcPr>
            <w:tcW w:w="2279" w:type="dxa"/>
            <w:vMerge/>
            <w:shd w:val="clear" w:color="auto" w:fill="auto"/>
            <w:noWrap/>
            <w:vAlign w:val="bottom"/>
            <w:hideMark/>
          </w:tcPr>
          <w:p w14:paraId="2FD8ABB6" w14:textId="77777777" w:rsidR="00A05085" w:rsidRPr="008170B3" w:rsidRDefault="00A05085" w:rsidP="00A05085">
            <w:pPr>
              <w:spacing w:after="100" w:afterAutospacing="1" w:line="240" w:lineRule="auto"/>
              <w:jc w:val="right"/>
              <w:rPr>
                <w:rFonts w:eastAsia="Times New Roman" w:cs="Times New Roman"/>
                <w:color w:val="000000"/>
                <w:lang w:eastAsia="en-GB"/>
              </w:rPr>
            </w:pPr>
          </w:p>
        </w:tc>
        <w:tc>
          <w:tcPr>
            <w:tcW w:w="1173" w:type="dxa"/>
            <w:shd w:val="clear" w:color="auto" w:fill="auto"/>
            <w:noWrap/>
            <w:vAlign w:val="bottom"/>
            <w:hideMark/>
          </w:tcPr>
          <w:p w14:paraId="264029AE"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0.3%</w:t>
            </w:r>
          </w:p>
        </w:tc>
        <w:tc>
          <w:tcPr>
            <w:tcW w:w="1083" w:type="dxa"/>
            <w:shd w:val="clear" w:color="auto" w:fill="auto"/>
            <w:noWrap/>
            <w:vAlign w:val="bottom"/>
            <w:hideMark/>
          </w:tcPr>
          <w:p w14:paraId="068BB368"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12.1%</w:t>
            </w:r>
          </w:p>
        </w:tc>
        <w:tc>
          <w:tcPr>
            <w:tcW w:w="1069" w:type="dxa"/>
            <w:shd w:val="clear" w:color="auto" w:fill="auto"/>
            <w:noWrap/>
            <w:vAlign w:val="bottom"/>
            <w:hideMark/>
          </w:tcPr>
          <w:p w14:paraId="386E634A"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73.1%</w:t>
            </w:r>
          </w:p>
        </w:tc>
        <w:tc>
          <w:tcPr>
            <w:tcW w:w="1060" w:type="dxa"/>
            <w:shd w:val="clear" w:color="auto" w:fill="auto"/>
            <w:noWrap/>
            <w:vAlign w:val="bottom"/>
            <w:hideMark/>
          </w:tcPr>
          <w:p w14:paraId="7DE3E4CC"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14.0%</w:t>
            </w:r>
          </w:p>
        </w:tc>
        <w:tc>
          <w:tcPr>
            <w:tcW w:w="1086" w:type="dxa"/>
            <w:shd w:val="clear" w:color="auto" w:fill="auto"/>
            <w:noWrap/>
            <w:vAlign w:val="bottom"/>
            <w:hideMark/>
          </w:tcPr>
          <w:p w14:paraId="2ACD5AED"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0.6%</w:t>
            </w:r>
          </w:p>
        </w:tc>
        <w:tc>
          <w:tcPr>
            <w:tcW w:w="1083" w:type="dxa"/>
            <w:shd w:val="clear" w:color="auto" w:fill="auto"/>
            <w:noWrap/>
            <w:vAlign w:val="bottom"/>
            <w:hideMark/>
          </w:tcPr>
          <w:p w14:paraId="2325F078"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100%</w:t>
            </w:r>
          </w:p>
        </w:tc>
      </w:tr>
      <w:tr w:rsidR="00A05085" w:rsidRPr="008170B3" w14:paraId="1C80AF04" w14:textId="77777777" w:rsidTr="00A05085">
        <w:trPr>
          <w:trHeight w:val="317"/>
        </w:trPr>
        <w:tc>
          <w:tcPr>
            <w:tcW w:w="2279" w:type="dxa"/>
            <w:vMerge w:val="restart"/>
            <w:shd w:val="clear" w:color="auto" w:fill="auto"/>
            <w:noWrap/>
            <w:hideMark/>
          </w:tcPr>
          <w:p w14:paraId="3105863C" w14:textId="77777777" w:rsidR="00A05085" w:rsidRPr="008170B3" w:rsidRDefault="00A05085" w:rsidP="00A05085">
            <w:pPr>
              <w:spacing w:after="100" w:afterAutospacing="1" w:line="240" w:lineRule="auto"/>
              <w:rPr>
                <w:rFonts w:eastAsia="Times New Roman" w:cs="Times New Roman"/>
                <w:color w:val="000000"/>
                <w:lang w:eastAsia="en-GB"/>
              </w:rPr>
            </w:pPr>
            <w:r w:rsidRPr="008170B3">
              <w:rPr>
                <w:rFonts w:eastAsia="Times New Roman" w:cs="Times New Roman"/>
                <w:color w:val="000000"/>
                <w:lang w:eastAsia="en-GB"/>
              </w:rPr>
              <w:t>Below average</w:t>
            </w:r>
          </w:p>
        </w:tc>
        <w:tc>
          <w:tcPr>
            <w:tcW w:w="1173" w:type="dxa"/>
            <w:shd w:val="clear" w:color="auto" w:fill="auto"/>
            <w:noWrap/>
            <w:vAlign w:val="bottom"/>
            <w:hideMark/>
          </w:tcPr>
          <w:p w14:paraId="3BFB7621"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20</w:t>
            </w:r>
          </w:p>
        </w:tc>
        <w:tc>
          <w:tcPr>
            <w:tcW w:w="1083" w:type="dxa"/>
            <w:shd w:val="clear" w:color="auto" w:fill="auto"/>
            <w:noWrap/>
            <w:vAlign w:val="bottom"/>
            <w:hideMark/>
          </w:tcPr>
          <w:p w14:paraId="38EF9629"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367</w:t>
            </w:r>
          </w:p>
        </w:tc>
        <w:tc>
          <w:tcPr>
            <w:tcW w:w="1069" w:type="dxa"/>
            <w:shd w:val="clear" w:color="auto" w:fill="auto"/>
            <w:noWrap/>
            <w:vAlign w:val="bottom"/>
            <w:hideMark/>
          </w:tcPr>
          <w:p w14:paraId="5A606DAC"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226</w:t>
            </w:r>
          </w:p>
        </w:tc>
        <w:tc>
          <w:tcPr>
            <w:tcW w:w="1060" w:type="dxa"/>
            <w:shd w:val="clear" w:color="auto" w:fill="auto"/>
            <w:noWrap/>
            <w:vAlign w:val="bottom"/>
            <w:hideMark/>
          </w:tcPr>
          <w:p w14:paraId="405C43F7"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6</w:t>
            </w:r>
          </w:p>
        </w:tc>
        <w:tc>
          <w:tcPr>
            <w:tcW w:w="1086" w:type="dxa"/>
            <w:shd w:val="clear" w:color="auto" w:fill="auto"/>
            <w:noWrap/>
            <w:vAlign w:val="bottom"/>
            <w:hideMark/>
          </w:tcPr>
          <w:p w14:paraId="2EA82476"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w:t>
            </w:r>
          </w:p>
        </w:tc>
        <w:tc>
          <w:tcPr>
            <w:tcW w:w="1083" w:type="dxa"/>
            <w:shd w:val="clear" w:color="auto" w:fill="auto"/>
            <w:noWrap/>
            <w:vAlign w:val="bottom"/>
            <w:hideMark/>
          </w:tcPr>
          <w:p w14:paraId="038B9285"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619</w:t>
            </w:r>
          </w:p>
        </w:tc>
      </w:tr>
      <w:tr w:rsidR="00A05085" w:rsidRPr="008170B3" w14:paraId="5217B066" w14:textId="77777777" w:rsidTr="00A05085">
        <w:trPr>
          <w:trHeight w:val="317"/>
        </w:trPr>
        <w:tc>
          <w:tcPr>
            <w:tcW w:w="2279" w:type="dxa"/>
            <w:vMerge/>
            <w:shd w:val="clear" w:color="auto" w:fill="auto"/>
            <w:noWrap/>
            <w:vAlign w:val="bottom"/>
            <w:hideMark/>
          </w:tcPr>
          <w:p w14:paraId="0FC6F6DC" w14:textId="77777777" w:rsidR="00A05085" w:rsidRPr="008170B3" w:rsidRDefault="00A05085" w:rsidP="00A05085">
            <w:pPr>
              <w:spacing w:after="100" w:afterAutospacing="1" w:line="240" w:lineRule="auto"/>
              <w:jc w:val="right"/>
              <w:rPr>
                <w:rFonts w:eastAsia="Times New Roman" w:cs="Times New Roman"/>
                <w:color w:val="000000"/>
                <w:lang w:eastAsia="en-GB"/>
              </w:rPr>
            </w:pPr>
          </w:p>
        </w:tc>
        <w:tc>
          <w:tcPr>
            <w:tcW w:w="1173" w:type="dxa"/>
            <w:shd w:val="clear" w:color="auto" w:fill="auto"/>
            <w:noWrap/>
            <w:vAlign w:val="bottom"/>
            <w:hideMark/>
          </w:tcPr>
          <w:p w14:paraId="5EF9178F"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3.2%</w:t>
            </w:r>
          </w:p>
        </w:tc>
        <w:tc>
          <w:tcPr>
            <w:tcW w:w="1083" w:type="dxa"/>
            <w:shd w:val="clear" w:color="auto" w:fill="auto"/>
            <w:noWrap/>
            <w:vAlign w:val="bottom"/>
            <w:hideMark/>
          </w:tcPr>
          <w:p w14:paraId="1509A749"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59.3%</w:t>
            </w:r>
          </w:p>
        </w:tc>
        <w:tc>
          <w:tcPr>
            <w:tcW w:w="1069" w:type="dxa"/>
            <w:shd w:val="clear" w:color="auto" w:fill="auto"/>
            <w:noWrap/>
            <w:vAlign w:val="bottom"/>
            <w:hideMark/>
          </w:tcPr>
          <w:p w14:paraId="2E63694C"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36.5%</w:t>
            </w:r>
          </w:p>
        </w:tc>
        <w:tc>
          <w:tcPr>
            <w:tcW w:w="1060" w:type="dxa"/>
            <w:shd w:val="clear" w:color="auto" w:fill="auto"/>
            <w:noWrap/>
            <w:vAlign w:val="bottom"/>
            <w:hideMark/>
          </w:tcPr>
          <w:p w14:paraId="36CB50EB"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1.0%</w:t>
            </w:r>
          </w:p>
        </w:tc>
        <w:tc>
          <w:tcPr>
            <w:tcW w:w="1086" w:type="dxa"/>
            <w:shd w:val="clear" w:color="auto" w:fill="auto"/>
            <w:noWrap/>
            <w:vAlign w:val="bottom"/>
            <w:hideMark/>
          </w:tcPr>
          <w:p w14:paraId="30EC05B6"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0.0%</w:t>
            </w:r>
          </w:p>
        </w:tc>
        <w:tc>
          <w:tcPr>
            <w:tcW w:w="1083" w:type="dxa"/>
            <w:shd w:val="clear" w:color="auto" w:fill="auto"/>
            <w:noWrap/>
            <w:vAlign w:val="bottom"/>
            <w:hideMark/>
          </w:tcPr>
          <w:p w14:paraId="69A3F5C0"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100%</w:t>
            </w:r>
          </w:p>
        </w:tc>
      </w:tr>
      <w:tr w:rsidR="00A05085" w:rsidRPr="008170B3" w14:paraId="307692BB" w14:textId="77777777" w:rsidTr="00A05085">
        <w:trPr>
          <w:trHeight w:val="317"/>
        </w:trPr>
        <w:tc>
          <w:tcPr>
            <w:tcW w:w="2279" w:type="dxa"/>
            <w:vMerge w:val="restart"/>
            <w:shd w:val="clear" w:color="auto" w:fill="auto"/>
            <w:noWrap/>
            <w:hideMark/>
          </w:tcPr>
          <w:p w14:paraId="71D7173D" w14:textId="77777777" w:rsidR="00A05085" w:rsidRPr="008170B3" w:rsidRDefault="00A05085" w:rsidP="00A05085">
            <w:pPr>
              <w:spacing w:after="100" w:afterAutospacing="1" w:line="240" w:lineRule="auto"/>
              <w:rPr>
                <w:rFonts w:eastAsia="Times New Roman" w:cs="Times New Roman"/>
                <w:color w:val="000000"/>
                <w:lang w:eastAsia="en-GB"/>
              </w:rPr>
            </w:pPr>
            <w:r w:rsidRPr="008170B3">
              <w:rPr>
                <w:rFonts w:eastAsia="Times New Roman" w:cs="Times New Roman"/>
                <w:color w:val="000000"/>
                <w:lang w:eastAsia="en-GB"/>
              </w:rPr>
              <w:t xml:space="preserve">Well below average </w:t>
            </w:r>
          </w:p>
        </w:tc>
        <w:tc>
          <w:tcPr>
            <w:tcW w:w="1173" w:type="dxa"/>
            <w:shd w:val="clear" w:color="auto" w:fill="auto"/>
            <w:noWrap/>
            <w:vAlign w:val="bottom"/>
            <w:hideMark/>
          </w:tcPr>
          <w:p w14:paraId="63A3655C"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235</w:t>
            </w:r>
          </w:p>
        </w:tc>
        <w:tc>
          <w:tcPr>
            <w:tcW w:w="1083" w:type="dxa"/>
            <w:shd w:val="clear" w:color="auto" w:fill="auto"/>
            <w:noWrap/>
            <w:vAlign w:val="bottom"/>
            <w:hideMark/>
          </w:tcPr>
          <w:p w14:paraId="0E747156"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164</w:t>
            </w:r>
          </w:p>
        </w:tc>
        <w:tc>
          <w:tcPr>
            <w:tcW w:w="1069" w:type="dxa"/>
            <w:shd w:val="clear" w:color="auto" w:fill="auto"/>
            <w:noWrap/>
            <w:vAlign w:val="bottom"/>
            <w:hideMark/>
          </w:tcPr>
          <w:p w14:paraId="242CADD6"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32</w:t>
            </w:r>
          </w:p>
        </w:tc>
        <w:tc>
          <w:tcPr>
            <w:tcW w:w="1060" w:type="dxa"/>
            <w:shd w:val="clear" w:color="auto" w:fill="auto"/>
            <w:noWrap/>
            <w:vAlign w:val="bottom"/>
            <w:hideMark/>
          </w:tcPr>
          <w:p w14:paraId="6115AA0E"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w:t>
            </w:r>
          </w:p>
        </w:tc>
        <w:tc>
          <w:tcPr>
            <w:tcW w:w="1086" w:type="dxa"/>
            <w:shd w:val="clear" w:color="auto" w:fill="auto"/>
            <w:noWrap/>
            <w:vAlign w:val="bottom"/>
            <w:hideMark/>
          </w:tcPr>
          <w:p w14:paraId="1729C796"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w:t>
            </w:r>
          </w:p>
        </w:tc>
        <w:tc>
          <w:tcPr>
            <w:tcW w:w="1083" w:type="dxa"/>
            <w:shd w:val="clear" w:color="auto" w:fill="auto"/>
            <w:noWrap/>
            <w:vAlign w:val="bottom"/>
            <w:hideMark/>
          </w:tcPr>
          <w:p w14:paraId="38DA7991"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432</w:t>
            </w:r>
          </w:p>
        </w:tc>
      </w:tr>
      <w:tr w:rsidR="00A05085" w:rsidRPr="008170B3" w14:paraId="543A52D8" w14:textId="77777777" w:rsidTr="00A05085">
        <w:trPr>
          <w:trHeight w:val="317"/>
        </w:trPr>
        <w:tc>
          <w:tcPr>
            <w:tcW w:w="2279" w:type="dxa"/>
            <w:vMerge/>
            <w:tcBorders>
              <w:bottom w:val="single" w:sz="4" w:space="0" w:color="auto"/>
            </w:tcBorders>
            <w:shd w:val="clear" w:color="auto" w:fill="auto"/>
            <w:noWrap/>
            <w:vAlign w:val="bottom"/>
            <w:hideMark/>
          </w:tcPr>
          <w:p w14:paraId="4FE7EEB8" w14:textId="77777777" w:rsidR="00A05085" w:rsidRPr="008170B3" w:rsidRDefault="00A05085" w:rsidP="00A05085">
            <w:pPr>
              <w:spacing w:after="100" w:afterAutospacing="1" w:line="240" w:lineRule="auto"/>
              <w:jc w:val="right"/>
              <w:rPr>
                <w:rFonts w:eastAsia="Times New Roman" w:cs="Times New Roman"/>
                <w:color w:val="000000"/>
                <w:lang w:eastAsia="en-GB"/>
              </w:rPr>
            </w:pPr>
          </w:p>
        </w:tc>
        <w:tc>
          <w:tcPr>
            <w:tcW w:w="1173" w:type="dxa"/>
            <w:tcBorders>
              <w:bottom w:val="single" w:sz="4" w:space="0" w:color="auto"/>
            </w:tcBorders>
            <w:shd w:val="clear" w:color="auto" w:fill="auto"/>
            <w:noWrap/>
            <w:vAlign w:val="bottom"/>
            <w:hideMark/>
          </w:tcPr>
          <w:p w14:paraId="0FBDDA12"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54.4%</w:t>
            </w:r>
          </w:p>
        </w:tc>
        <w:tc>
          <w:tcPr>
            <w:tcW w:w="1083" w:type="dxa"/>
            <w:tcBorders>
              <w:bottom w:val="single" w:sz="4" w:space="0" w:color="auto"/>
            </w:tcBorders>
            <w:shd w:val="clear" w:color="auto" w:fill="auto"/>
            <w:noWrap/>
            <w:vAlign w:val="bottom"/>
            <w:hideMark/>
          </w:tcPr>
          <w:p w14:paraId="0163941F"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38.0%</w:t>
            </w:r>
          </w:p>
        </w:tc>
        <w:tc>
          <w:tcPr>
            <w:tcW w:w="1069" w:type="dxa"/>
            <w:tcBorders>
              <w:bottom w:val="single" w:sz="4" w:space="0" w:color="auto"/>
            </w:tcBorders>
            <w:shd w:val="clear" w:color="auto" w:fill="auto"/>
            <w:noWrap/>
            <w:vAlign w:val="bottom"/>
            <w:hideMark/>
          </w:tcPr>
          <w:p w14:paraId="643629D9"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7.4%</w:t>
            </w:r>
          </w:p>
        </w:tc>
        <w:tc>
          <w:tcPr>
            <w:tcW w:w="1060" w:type="dxa"/>
            <w:tcBorders>
              <w:bottom w:val="single" w:sz="4" w:space="0" w:color="auto"/>
            </w:tcBorders>
            <w:shd w:val="clear" w:color="auto" w:fill="auto"/>
            <w:noWrap/>
            <w:vAlign w:val="bottom"/>
            <w:hideMark/>
          </w:tcPr>
          <w:p w14:paraId="0CF059B4"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0.2%</w:t>
            </w:r>
          </w:p>
        </w:tc>
        <w:tc>
          <w:tcPr>
            <w:tcW w:w="1086" w:type="dxa"/>
            <w:tcBorders>
              <w:bottom w:val="single" w:sz="4" w:space="0" w:color="auto"/>
            </w:tcBorders>
            <w:shd w:val="clear" w:color="auto" w:fill="auto"/>
            <w:noWrap/>
            <w:vAlign w:val="bottom"/>
            <w:hideMark/>
          </w:tcPr>
          <w:p w14:paraId="7BAE1498"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0.0%</w:t>
            </w:r>
          </w:p>
        </w:tc>
        <w:tc>
          <w:tcPr>
            <w:tcW w:w="1083" w:type="dxa"/>
            <w:tcBorders>
              <w:bottom w:val="single" w:sz="4" w:space="0" w:color="auto"/>
            </w:tcBorders>
            <w:shd w:val="clear" w:color="auto" w:fill="auto"/>
            <w:noWrap/>
            <w:vAlign w:val="bottom"/>
            <w:hideMark/>
          </w:tcPr>
          <w:p w14:paraId="605912FD"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100%</w:t>
            </w:r>
          </w:p>
        </w:tc>
      </w:tr>
      <w:tr w:rsidR="00A05085" w:rsidRPr="008170B3" w14:paraId="3D9046E8" w14:textId="77777777" w:rsidTr="00A05085">
        <w:trPr>
          <w:trHeight w:val="317"/>
        </w:trPr>
        <w:tc>
          <w:tcPr>
            <w:tcW w:w="2279" w:type="dxa"/>
            <w:vMerge w:val="restart"/>
            <w:tcBorders>
              <w:top w:val="single" w:sz="4" w:space="0" w:color="auto"/>
            </w:tcBorders>
            <w:shd w:val="clear" w:color="auto" w:fill="auto"/>
            <w:noWrap/>
            <w:hideMark/>
          </w:tcPr>
          <w:p w14:paraId="5C8907A0" w14:textId="77777777" w:rsidR="00A05085" w:rsidRPr="008170B3" w:rsidRDefault="00A05085" w:rsidP="00A05085">
            <w:pPr>
              <w:spacing w:after="100" w:afterAutospacing="1" w:line="240" w:lineRule="auto"/>
              <w:rPr>
                <w:rFonts w:eastAsia="Times New Roman" w:cs="Times New Roman"/>
                <w:color w:val="000000"/>
                <w:lang w:eastAsia="en-GB"/>
              </w:rPr>
            </w:pPr>
            <w:r w:rsidRPr="008170B3">
              <w:rPr>
                <w:rFonts w:eastAsia="Times New Roman" w:cs="Times New Roman"/>
                <w:color w:val="000000"/>
                <w:lang w:eastAsia="en-GB"/>
              </w:rPr>
              <w:t xml:space="preserve">Total </w:t>
            </w:r>
          </w:p>
          <w:p w14:paraId="0FF67931" w14:textId="77777777" w:rsidR="00A05085" w:rsidRPr="008170B3" w:rsidRDefault="00A05085" w:rsidP="00A05085">
            <w:pPr>
              <w:spacing w:after="100" w:afterAutospacing="1" w:line="240" w:lineRule="auto"/>
              <w:rPr>
                <w:rFonts w:eastAsia="Times New Roman" w:cs="Times New Roman"/>
                <w:color w:val="000000"/>
                <w:lang w:eastAsia="en-GB"/>
              </w:rPr>
            </w:pPr>
            <w:r w:rsidRPr="008170B3">
              <w:rPr>
                <w:rFonts w:eastAsia="Times New Roman" w:cs="Times New Roman"/>
                <w:color w:val="000000"/>
                <w:lang w:eastAsia="en-GB"/>
              </w:rPr>
              <w:t> </w:t>
            </w:r>
          </w:p>
        </w:tc>
        <w:tc>
          <w:tcPr>
            <w:tcW w:w="1173" w:type="dxa"/>
            <w:tcBorders>
              <w:top w:val="single" w:sz="4" w:space="0" w:color="auto"/>
            </w:tcBorders>
            <w:shd w:val="clear" w:color="auto" w:fill="auto"/>
            <w:noWrap/>
            <w:vAlign w:val="bottom"/>
            <w:hideMark/>
          </w:tcPr>
          <w:p w14:paraId="7D940E23"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258</w:t>
            </w:r>
          </w:p>
        </w:tc>
        <w:tc>
          <w:tcPr>
            <w:tcW w:w="1083" w:type="dxa"/>
            <w:tcBorders>
              <w:top w:val="single" w:sz="4" w:space="0" w:color="auto"/>
            </w:tcBorders>
            <w:shd w:val="clear" w:color="auto" w:fill="auto"/>
            <w:noWrap/>
            <w:vAlign w:val="bottom"/>
            <w:hideMark/>
          </w:tcPr>
          <w:p w14:paraId="33EF3D8A"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679</w:t>
            </w:r>
          </w:p>
        </w:tc>
        <w:tc>
          <w:tcPr>
            <w:tcW w:w="1069" w:type="dxa"/>
            <w:tcBorders>
              <w:top w:val="single" w:sz="4" w:space="0" w:color="auto"/>
            </w:tcBorders>
            <w:shd w:val="clear" w:color="auto" w:fill="auto"/>
            <w:noWrap/>
            <w:vAlign w:val="bottom"/>
            <w:hideMark/>
          </w:tcPr>
          <w:p w14:paraId="7C18B577"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1,323</w:t>
            </w:r>
          </w:p>
        </w:tc>
        <w:tc>
          <w:tcPr>
            <w:tcW w:w="1060" w:type="dxa"/>
            <w:tcBorders>
              <w:top w:val="single" w:sz="4" w:space="0" w:color="auto"/>
            </w:tcBorders>
            <w:shd w:val="clear" w:color="auto" w:fill="auto"/>
            <w:noWrap/>
            <w:vAlign w:val="bottom"/>
            <w:hideMark/>
          </w:tcPr>
          <w:p w14:paraId="5AF68A5E"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634</w:t>
            </w:r>
          </w:p>
        </w:tc>
        <w:tc>
          <w:tcPr>
            <w:tcW w:w="1086" w:type="dxa"/>
            <w:tcBorders>
              <w:top w:val="single" w:sz="4" w:space="0" w:color="auto"/>
            </w:tcBorders>
            <w:shd w:val="clear" w:color="auto" w:fill="auto"/>
            <w:noWrap/>
            <w:vAlign w:val="bottom"/>
            <w:hideMark/>
          </w:tcPr>
          <w:p w14:paraId="3F2726F8"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302</w:t>
            </w:r>
          </w:p>
        </w:tc>
        <w:tc>
          <w:tcPr>
            <w:tcW w:w="1083" w:type="dxa"/>
            <w:tcBorders>
              <w:top w:val="single" w:sz="4" w:space="0" w:color="auto"/>
            </w:tcBorders>
            <w:shd w:val="clear" w:color="auto" w:fill="auto"/>
            <w:noWrap/>
            <w:vAlign w:val="bottom"/>
            <w:hideMark/>
          </w:tcPr>
          <w:p w14:paraId="5C0EC45F"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3,196</w:t>
            </w:r>
          </w:p>
        </w:tc>
      </w:tr>
      <w:tr w:rsidR="00A05085" w:rsidRPr="008170B3" w14:paraId="431E2C53" w14:textId="77777777" w:rsidTr="00A05085">
        <w:trPr>
          <w:trHeight w:val="260"/>
        </w:trPr>
        <w:tc>
          <w:tcPr>
            <w:tcW w:w="2279" w:type="dxa"/>
            <w:vMerge/>
            <w:tcBorders>
              <w:bottom w:val="single" w:sz="4" w:space="0" w:color="auto"/>
            </w:tcBorders>
            <w:shd w:val="clear" w:color="auto" w:fill="auto"/>
            <w:noWrap/>
            <w:vAlign w:val="bottom"/>
            <w:hideMark/>
          </w:tcPr>
          <w:p w14:paraId="62FCF650" w14:textId="77777777" w:rsidR="00A05085" w:rsidRPr="008170B3" w:rsidRDefault="00A05085" w:rsidP="00A05085">
            <w:pPr>
              <w:spacing w:after="100" w:afterAutospacing="1" w:line="240" w:lineRule="auto"/>
              <w:rPr>
                <w:rFonts w:eastAsia="Times New Roman" w:cs="Times New Roman"/>
                <w:color w:val="000000"/>
                <w:lang w:eastAsia="en-GB"/>
              </w:rPr>
            </w:pPr>
          </w:p>
        </w:tc>
        <w:tc>
          <w:tcPr>
            <w:tcW w:w="1173" w:type="dxa"/>
            <w:tcBorders>
              <w:bottom w:val="single" w:sz="4" w:space="0" w:color="auto"/>
            </w:tcBorders>
            <w:shd w:val="clear" w:color="auto" w:fill="auto"/>
            <w:noWrap/>
            <w:vAlign w:val="bottom"/>
            <w:hideMark/>
          </w:tcPr>
          <w:p w14:paraId="1D825892"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8.1%</w:t>
            </w:r>
          </w:p>
        </w:tc>
        <w:tc>
          <w:tcPr>
            <w:tcW w:w="1083" w:type="dxa"/>
            <w:tcBorders>
              <w:bottom w:val="single" w:sz="4" w:space="0" w:color="auto"/>
            </w:tcBorders>
            <w:shd w:val="clear" w:color="auto" w:fill="auto"/>
            <w:noWrap/>
            <w:vAlign w:val="bottom"/>
            <w:hideMark/>
          </w:tcPr>
          <w:p w14:paraId="2C8C9608"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21.3%</w:t>
            </w:r>
          </w:p>
        </w:tc>
        <w:tc>
          <w:tcPr>
            <w:tcW w:w="1069" w:type="dxa"/>
            <w:tcBorders>
              <w:bottom w:val="single" w:sz="4" w:space="0" w:color="auto"/>
            </w:tcBorders>
            <w:shd w:val="clear" w:color="auto" w:fill="auto"/>
            <w:noWrap/>
            <w:vAlign w:val="bottom"/>
            <w:hideMark/>
          </w:tcPr>
          <w:p w14:paraId="28648534"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41.4%</w:t>
            </w:r>
          </w:p>
        </w:tc>
        <w:tc>
          <w:tcPr>
            <w:tcW w:w="1060" w:type="dxa"/>
            <w:tcBorders>
              <w:bottom w:val="single" w:sz="4" w:space="0" w:color="auto"/>
            </w:tcBorders>
            <w:shd w:val="clear" w:color="auto" w:fill="auto"/>
            <w:noWrap/>
            <w:vAlign w:val="bottom"/>
            <w:hideMark/>
          </w:tcPr>
          <w:p w14:paraId="3356DCA1"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19.8%</w:t>
            </w:r>
          </w:p>
        </w:tc>
        <w:tc>
          <w:tcPr>
            <w:tcW w:w="1086" w:type="dxa"/>
            <w:tcBorders>
              <w:bottom w:val="single" w:sz="4" w:space="0" w:color="auto"/>
            </w:tcBorders>
            <w:shd w:val="clear" w:color="auto" w:fill="auto"/>
            <w:noWrap/>
            <w:vAlign w:val="bottom"/>
            <w:hideMark/>
          </w:tcPr>
          <w:p w14:paraId="265AE3EE"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9.5%</w:t>
            </w:r>
          </w:p>
        </w:tc>
        <w:tc>
          <w:tcPr>
            <w:tcW w:w="1083" w:type="dxa"/>
            <w:tcBorders>
              <w:bottom w:val="single" w:sz="4" w:space="0" w:color="auto"/>
            </w:tcBorders>
            <w:shd w:val="clear" w:color="auto" w:fill="auto"/>
            <w:noWrap/>
            <w:vAlign w:val="bottom"/>
            <w:hideMark/>
          </w:tcPr>
          <w:p w14:paraId="07E6FA54" w14:textId="77777777" w:rsidR="00A05085" w:rsidRDefault="00A05085" w:rsidP="00A05085">
            <w:pPr>
              <w:spacing w:after="100" w:afterAutospacing="1" w:line="240" w:lineRule="auto"/>
              <w:jc w:val="right"/>
              <w:rPr>
                <w:rFonts w:ascii="Calibri" w:hAnsi="Calibri"/>
                <w:color w:val="000000"/>
              </w:rPr>
            </w:pPr>
            <w:r>
              <w:rPr>
                <w:rFonts w:ascii="Calibri" w:hAnsi="Calibri"/>
                <w:color w:val="000000"/>
              </w:rPr>
              <w:t>100%</w:t>
            </w:r>
          </w:p>
        </w:tc>
      </w:tr>
    </w:tbl>
    <w:p w14:paraId="779754C0" w14:textId="77777777" w:rsidR="00AD5302" w:rsidRPr="008170B3" w:rsidRDefault="00AD5302" w:rsidP="00AD5302">
      <w:pPr>
        <w:spacing w:line="240" w:lineRule="auto"/>
        <w:rPr>
          <w:rFonts w:cs="Arial"/>
        </w:rPr>
      </w:pPr>
    </w:p>
    <w:p w14:paraId="039B3979" w14:textId="77777777" w:rsidR="00786282" w:rsidRPr="008170B3" w:rsidRDefault="00786282" w:rsidP="00786282">
      <w:pPr>
        <w:pStyle w:val="ListParagraph"/>
        <w:numPr>
          <w:ilvl w:val="0"/>
          <w:numId w:val="1"/>
        </w:numPr>
        <w:spacing w:line="240" w:lineRule="auto"/>
        <w:rPr>
          <w:rFonts w:cs="Arial"/>
        </w:rPr>
      </w:pPr>
      <w:r w:rsidRPr="008170B3">
        <w:rPr>
          <w:rFonts w:cs="Arial"/>
        </w:rPr>
        <w:t>The table shows that moving from Progress 8 to Adj</w:t>
      </w:r>
      <w:r w:rsidR="00276346">
        <w:rPr>
          <w:rFonts w:cs="Arial"/>
        </w:rPr>
        <w:t>usted Progres</w:t>
      </w:r>
      <w:r w:rsidR="00A05085">
        <w:rPr>
          <w:rFonts w:cs="Arial"/>
        </w:rPr>
        <w:t>s 8 would lead 1,184 schools (38</w:t>
      </w:r>
      <w:r w:rsidRPr="008170B3">
        <w:rPr>
          <w:rFonts w:cs="Arial"/>
        </w:rPr>
        <w:t xml:space="preserve">% of all schools) to change bandings. </w:t>
      </w:r>
    </w:p>
    <w:p w14:paraId="74F883D6" w14:textId="77777777" w:rsidR="003422AC" w:rsidRPr="008170B3" w:rsidRDefault="003422AC" w:rsidP="003422AC">
      <w:pPr>
        <w:pStyle w:val="ListParagraph"/>
        <w:spacing w:line="240" w:lineRule="auto"/>
        <w:rPr>
          <w:rFonts w:cs="Arial"/>
        </w:rPr>
      </w:pPr>
    </w:p>
    <w:p w14:paraId="7CE6A160" w14:textId="77777777" w:rsidR="00786282" w:rsidRPr="008170B3" w:rsidRDefault="00786282" w:rsidP="00786282">
      <w:pPr>
        <w:pStyle w:val="ListParagraph"/>
        <w:numPr>
          <w:ilvl w:val="0"/>
          <w:numId w:val="1"/>
        </w:numPr>
        <w:spacing w:line="240" w:lineRule="auto"/>
        <w:rPr>
          <w:rFonts w:cs="Arial"/>
        </w:rPr>
      </w:pPr>
      <w:r w:rsidRPr="008170B3">
        <w:rPr>
          <w:rFonts w:cs="Arial"/>
        </w:rPr>
        <w:t xml:space="preserve">Importantly, the number of schools assigned to the ‘well below average’ banding </w:t>
      </w:r>
      <w:r w:rsidR="00A05085">
        <w:rPr>
          <w:rFonts w:cs="Arial"/>
        </w:rPr>
        <w:t>would drop from 432 schools (13.5</w:t>
      </w:r>
      <w:r w:rsidR="00B21C5F">
        <w:rPr>
          <w:rFonts w:cs="Arial"/>
        </w:rPr>
        <w:t>% of all schools) to 258 schools (8.1</w:t>
      </w:r>
      <w:r w:rsidR="003422AC" w:rsidRPr="008170B3">
        <w:rPr>
          <w:rFonts w:cs="Arial"/>
        </w:rPr>
        <w:t>% of</w:t>
      </w:r>
      <w:r w:rsidR="00B21C5F">
        <w:rPr>
          <w:rFonts w:cs="Arial"/>
        </w:rPr>
        <w:t xml:space="preserve"> all schools), a decrease of 174 </w:t>
      </w:r>
      <w:r w:rsidR="003422AC" w:rsidRPr="008170B3">
        <w:rPr>
          <w:rFonts w:cs="Arial"/>
        </w:rPr>
        <w:t>schools, or</w:t>
      </w:r>
      <w:r w:rsidR="00462FD5">
        <w:rPr>
          <w:rFonts w:cs="Arial"/>
        </w:rPr>
        <w:t xml:space="preserve"> almost a half</w:t>
      </w:r>
      <w:r w:rsidR="003422AC" w:rsidRPr="008170B3">
        <w:rPr>
          <w:rFonts w:cs="Arial"/>
        </w:rPr>
        <w:t xml:space="preserve">. </w:t>
      </w:r>
    </w:p>
    <w:p w14:paraId="36C9CACC" w14:textId="77777777" w:rsidR="003422AC" w:rsidRPr="008170B3" w:rsidRDefault="003422AC" w:rsidP="003422AC">
      <w:pPr>
        <w:pStyle w:val="ListParagraph"/>
        <w:rPr>
          <w:rFonts w:cs="Arial"/>
        </w:rPr>
      </w:pPr>
    </w:p>
    <w:p w14:paraId="7675D5BD" w14:textId="77777777" w:rsidR="00FC7984" w:rsidRPr="008170B3" w:rsidRDefault="003422AC" w:rsidP="00786282">
      <w:pPr>
        <w:pStyle w:val="ListParagraph"/>
        <w:numPr>
          <w:ilvl w:val="0"/>
          <w:numId w:val="1"/>
        </w:numPr>
        <w:spacing w:line="240" w:lineRule="auto"/>
        <w:rPr>
          <w:rFonts w:cs="Arial"/>
        </w:rPr>
      </w:pPr>
      <w:r w:rsidRPr="008170B3">
        <w:rPr>
          <w:rFonts w:cs="Arial"/>
        </w:rPr>
        <w:t>At the other extreme, the number of school</w:t>
      </w:r>
      <w:r w:rsidR="00CB2C2D">
        <w:rPr>
          <w:rFonts w:cs="Arial"/>
        </w:rPr>
        <w:t>s</w:t>
      </w:r>
      <w:r w:rsidRPr="008170B3">
        <w:rPr>
          <w:rFonts w:cs="Arial"/>
        </w:rPr>
        <w:t xml:space="preserve"> assigned to the ‘well above average’ banding would </w:t>
      </w:r>
      <w:r w:rsidR="00B21C5F">
        <w:rPr>
          <w:rFonts w:cs="Arial"/>
        </w:rPr>
        <w:t>decrease from 447 schools (14% of all schools) to 302 schools (9.5</w:t>
      </w:r>
      <w:r w:rsidRPr="008170B3">
        <w:rPr>
          <w:rFonts w:cs="Arial"/>
        </w:rPr>
        <w:t>% of</w:t>
      </w:r>
      <w:r w:rsidR="00B21C5F">
        <w:rPr>
          <w:rFonts w:cs="Arial"/>
        </w:rPr>
        <w:t xml:space="preserve"> all schools), a decrease of 145</w:t>
      </w:r>
      <w:r w:rsidR="00462FD5">
        <w:rPr>
          <w:rFonts w:cs="Arial"/>
        </w:rPr>
        <w:t xml:space="preserve"> </w:t>
      </w:r>
      <w:r w:rsidRPr="008170B3">
        <w:rPr>
          <w:rFonts w:cs="Arial"/>
        </w:rPr>
        <w:t xml:space="preserve">schools, or </w:t>
      </w:r>
      <w:r w:rsidR="00462FD5">
        <w:rPr>
          <w:rFonts w:cs="Arial"/>
        </w:rPr>
        <w:t>almost a third</w:t>
      </w:r>
      <w:r w:rsidRPr="008170B3">
        <w:rPr>
          <w:rFonts w:cs="Arial"/>
        </w:rPr>
        <w:t>.</w:t>
      </w:r>
    </w:p>
    <w:p w14:paraId="2195A780" w14:textId="77777777" w:rsidR="00FC7984" w:rsidRPr="008170B3" w:rsidRDefault="00FC7984" w:rsidP="008170B3">
      <w:pPr>
        <w:pStyle w:val="ListParagraph"/>
        <w:rPr>
          <w:rFonts w:cs="Arial"/>
        </w:rPr>
      </w:pPr>
    </w:p>
    <w:p w14:paraId="0547AC73" w14:textId="77777777" w:rsidR="003422AC" w:rsidRPr="00267A5A" w:rsidRDefault="00FC7984" w:rsidP="00786282">
      <w:pPr>
        <w:pStyle w:val="ListParagraph"/>
        <w:numPr>
          <w:ilvl w:val="0"/>
          <w:numId w:val="1"/>
        </w:numPr>
        <w:spacing w:line="240" w:lineRule="auto"/>
        <w:rPr>
          <w:rFonts w:cs="Arial"/>
        </w:rPr>
      </w:pPr>
      <w:r w:rsidRPr="00267A5A">
        <w:rPr>
          <w:rFonts w:cs="Arial"/>
        </w:rPr>
        <w:t>Essentially, the Adjusted Progress 8 model is a better predictive model of pupil Attainment 8 scores than the Progress 8 model. As a result, both pupil and school progress scores vary less than when the Progress 8 model is used. In turn, fewer schools appear in the most extreme bandings than when the Progress 8 model is used.</w:t>
      </w:r>
    </w:p>
    <w:p w14:paraId="29AF6E2D" w14:textId="77777777" w:rsidR="003422AC" w:rsidRPr="00267A5A" w:rsidRDefault="003422AC" w:rsidP="003422AC">
      <w:pPr>
        <w:pStyle w:val="ListParagraph"/>
        <w:rPr>
          <w:rFonts w:cs="Arial"/>
        </w:rPr>
      </w:pPr>
    </w:p>
    <w:p w14:paraId="4A22893E" w14:textId="77777777" w:rsidR="003422AC" w:rsidRPr="00267A5A" w:rsidRDefault="003422AC" w:rsidP="003422AC">
      <w:pPr>
        <w:spacing w:line="240" w:lineRule="auto"/>
        <w:rPr>
          <w:rFonts w:cs="Arial"/>
        </w:rPr>
      </w:pPr>
    </w:p>
    <w:p w14:paraId="29F7E1A6" w14:textId="77777777" w:rsidR="003422AC" w:rsidRPr="00267A5A" w:rsidRDefault="003422AC" w:rsidP="003422AC">
      <w:pPr>
        <w:spacing w:line="240" w:lineRule="auto"/>
        <w:rPr>
          <w:rFonts w:cs="Arial"/>
        </w:rPr>
      </w:pPr>
    </w:p>
    <w:p w14:paraId="259853C8" w14:textId="77777777" w:rsidR="003422AC" w:rsidRPr="00267A5A" w:rsidRDefault="003422AC" w:rsidP="003422AC">
      <w:pPr>
        <w:spacing w:line="240" w:lineRule="auto"/>
        <w:rPr>
          <w:rFonts w:cs="Arial"/>
        </w:rPr>
      </w:pPr>
    </w:p>
    <w:p w14:paraId="5FD2D527" w14:textId="77777777" w:rsidR="003422AC" w:rsidRPr="00267A5A" w:rsidRDefault="003422AC" w:rsidP="003422AC">
      <w:pPr>
        <w:spacing w:line="240" w:lineRule="auto"/>
        <w:rPr>
          <w:rFonts w:cs="Arial"/>
        </w:rPr>
      </w:pPr>
    </w:p>
    <w:p w14:paraId="0A07979F" w14:textId="77777777" w:rsidR="003422AC" w:rsidRPr="00267A5A" w:rsidRDefault="003422AC" w:rsidP="003422AC">
      <w:pPr>
        <w:pStyle w:val="ListParagraph"/>
        <w:numPr>
          <w:ilvl w:val="0"/>
          <w:numId w:val="1"/>
        </w:numPr>
        <w:spacing w:line="240" w:lineRule="auto"/>
        <w:rPr>
          <w:rFonts w:cs="Arial"/>
        </w:rPr>
      </w:pPr>
      <w:r w:rsidRPr="00267A5A">
        <w:rPr>
          <w:rFonts w:cs="Arial"/>
        </w:rPr>
        <w:lastRenderedPageBreak/>
        <w:t>The left-hand plot is for Progress 8. The plot shows how much better, on average, each school group performs than predicted by their KS2 scores. The results are expressed in terms of grades per subject.</w:t>
      </w:r>
    </w:p>
    <w:p w14:paraId="605060BD" w14:textId="77777777" w:rsidR="003422AC" w:rsidRPr="00267A5A" w:rsidRDefault="003422AC" w:rsidP="003422AC">
      <w:pPr>
        <w:pStyle w:val="ListParagraph"/>
        <w:spacing w:line="240" w:lineRule="auto"/>
        <w:rPr>
          <w:rFonts w:cs="Arial"/>
        </w:rPr>
      </w:pPr>
    </w:p>
    <w:p w14:paraId="069C126C" w14:textId="77777777" w:rsidR="003422AC" w:rsidRPr="00267A5A" w:rsidRDefault="00D77D92" w:rsidP="003422AC">
      <w:pPr>
        <w:pStyle w:val="ListParagraph"/>
        <w:numPr>
          <w:ilvl w:val="0"/>
          <w:numId w:val="1"/>
        </w:numPr>
        <w:spacing w:line="240" w:lineRule="auto"/>
        <w:rPr>
          <w:rFonts w:cs="Arial"/>
        </w:rPr>
      </w:pPr>
      <w:r>
        <w:rPr>
          <w:rFonts w:cs="Arial"/>
          <w:noProof/>
          <w:lang w:eastAsia="en-GB"/>
        </w:rPr>
        <w:drawing>
          <wp:anchor distT="0" distB="0" distL="114300" distR="114300" simplePos="0" relativeHeight="251666432" behindDoc="0" locked="0" layoutInCell="1" allowOverlap="1" wp14:anchorId="32677575" wp14:editId="6334BDB8">
            <wp:simplePos x="0" y="0"/>
            <wp:positionH relativeFrom="margin">
              <wp:align>right</wp:align>
            </wp:positionH>
            <wp:positionV relativeFrom="page">
              <wp:posOffset>2838450</wp:posOffset>
            </wp:positionV>
            <wp:extent cx="5731510" cy="6324600"/>
            <wp:effectExtent l="0" t="0" r="2540" b="0"/>
            <wp:wrapSquare wrapText="bothSides"/>
            <wp:docPr id="1" name="Picture 1" descr="Progress 8 and Adjusted Progress 8 scores averaged by school characteristics. Results discussed in points 36 to 47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gress 8 and Adjusted Progress 8 scores averaged by school characteristics. Results discussed in points 36 to 47 in the tex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6324600"/>
                    </a:xfrm>
                    <a:prstGeom prst="rect">
                      <a:avLst/>
                    </a:prstGeom>
                  </pic:spPr>
                </pic:pic>
              </a:graphicData>
            </a:graphic>
          </wp:anchor>
        </w:drawing>
      </w:r>
      <w:r w:rsidR="003422AC" w:rsidRPr="00267A5A">
        <w:rPr>
          <w:rFonts w:cs="Arial"/>
        </w:rPr>
        <w:t xml:space="preserve">The right-hand plot is for Adjusted Progress 8. The plot shows how much better, on average, each school group performs than predicted by their KS2 scores, age, gender, ethnicity, language, SEN, FSM, and deprivation. The results are expressed in terms of grades per GCSE subject. </w:t>
      </w:r>
    </w:p>
    <w:p w14:paraId="2C7B71F5" w14:textId="77777777" w:rsidR="00060E4C" w:rsidRPr="00267A5A" w:rsidRDefault="00060E4C" w:rsidP="003422AC">
      <w:pPr>
        <w:pStyle w:val="ListParagraph"/>
        <w:spacing w:line="240" w:lineRule="auto"/>
        <w:rPr>
          <w:rFonts w:cs="Arial"/>
        </w:rPr>
      </w:pPr>
    </w:p>
    <w:p w14:paraId="0D225399" w14:textId="77777777" w:rsidR="0011667B" w:rsidRPr="00267A5A" w:rsidRDefault="0011667B" w:rsidP="0011667B">
      <w:pPr>
        <w:spacing w:line="240" w:lineRule="auto"/>
        <w:rPr>
          <w:rFonts w:cs="Arial"/>
          <w:b/>
        </w:rPr>
      </w:pPr>
      <w:r w:rsidRPr="00267A5A">
        <w:rPr>
          <w:rFonts w:cs="Arial"/>
          <w:b/>
        </w:rPr>
        <w:t xml:space="preserve">Figure 3. Average pupil Progress 8 and Adjusted Progress 8 scores by school characteristics. </w:t>
      </w:r>
    </w:p>
    <w:p w14:paraId="16CF8ABD" w14:textId="77777777" w:rsidR="003422AC" w:rsidRPr="00267A5A" w:rsidRDefault="003422AC" w:rsidP="003422AC">
      <w:pPr>
        <w:pStyle w:val="ListParagraph"/>
        <w:spacing w:line="240" w:lineRule="auto"/>
        <w:rPr>
          <w:rFonts w:cs="Arial"/>
        </w:rPr>
      </w:pPr>
    </w:p>
    <w:p w14:paraId="330A3A1F" w14:textId="77777777" w:rsidR="00060E4C" w:rsidRPr="00267A5A" w:rsidRDefault="00060E4C" w:rsidP="003422AC">
      <w:pPr>
        <w:pStyle w:val="ListParagraph"/>
        <w:spacing w:line="240" w:lineRule="auto"/>
        <w:rPr>
          <w:rFonts w:cs="Arial"/>
        </w:rPr>
      </w:pPr>
    </w:p>
    <w:p w14:paraId="2A64795A" w14:textId="77777777" w:rsidR="00060E4C" w:rsidRPr="00267A5A" w:rsidRDefault="00060E4C" w:rsidP="003422AC">
      <w:pPr>
        <w:pStyle w:val="ListParagraph"/>
        <w:spacing w:line="240" w:lineRule="auto"/>
        <w:rPr>
          <w:rFonts w:cs="Arial"/>
        </w:rPr>
      </w:pPr>
    </w:p>
    <w:p w14:paraId="6B902D1C" w14:textId="77777777" w:rsidR="00060E4C" w:rsidRPr="00267A5A" w:rsidRDefault="00060E4C" w:rsidP="00060E4C">
      <w:pPr>
        <w:pStyle w:val="ListParagraph"/>
        <w:numPr>
          <w:ilvl w:val="0"/>
          <w:numId w:val="1"/>
        </w:numPr>
        <w:spacing w:line="240" w:lineRule="auto"/>
        <w:rPr>
          <w:rFonts w:cs="Arial"/>
        </w:rPr>
      </w:pPr>
      <w:r w:rsidRPr="00267A5A">
        <w:rPr>
          <w:rFonts w:cs="Arial"/>
        </w:rPr>
        <w:lastRenderedPageBreak/>
        <w:t>According to Progress 8 (left-hand panel</w:t>
      </w:r>
      <w:r w:rsidR="002254D2">
        <w:rPr>
          <w:rFonts w:cs="Arial"/>
        </w:rPr>
        <w:t>), pupils in London schools (465</w:t>
      </w:r>
      <w:r w:rsidRPr="00267A5A">
        <w:rPr>
          <w:rFonts w:cs="Arial"/>
        </w:rPr>
        <w:t xml:space="preserve"> schools; 14</w:t>
      </w:r>
      <w:r w:rsidR="002254D2">
        <w:rPr>
          <w:rFonts w:cs="Arial"/>
        </w:rPr>
        <w:t>.6</w:t>
      </w:r>
      <w:r w:rsidRPr="00267A5A">
        <w:rPr>
          <w:rFonts w:cs="Arial"/>
        </w:rPr>
        <w:t>% of all schools) make, on average,</w:t>
      </w:r>
      <w:r w:rsidR="00462FD5">
        <w:rPr>
          <w:rFonts w:cs="Arial"/>
        </w:rPr>
        <w:t xml:space="preserve"> the most progress, scoring 0.26</w:t>
      </w:r>
      <w:r w:rsidRPr="00267A5A">
        <w:rPr>
          <w:rFonts w:cs="Arial"/>
        </w:rPr>
        <w:t xml:space="preserve"> grades higher per subject than pupils nationally with the same prior attainment. However, under Adjusted Progress 8 (right-hand panel) this ‘London effect’ </w:t>
      </w:r>
      <w:r w:rsidR="002254D2">
        <w:rPr>
          <w:rFonts w:cs="Arial"/>
        </w:rPr>
        <w:t>halves to just 0.12</w:t>
      </w:r>
      <w:r w:rsidRPr="00267A5A">
        <w:rPr>
          <w:rFonts w:cs="Arial"/>
        </w:rPr>
        <w:t xml:space="preserve"> grades per subject. </w:t>
      </w:r>
    </w:p>
    <w:p w14:paraId="151F8CF3" w14:textId="77777777" w:rsidR="00D47FBB" w:rsidRPr="00267A5A" w:rsidRDefault="00D47FBB" w:rsidP="00D47FBB">
      <w:pPr>
        <w:pStyle w:val="ListParagraph"/>
        <w:spacing w:line="240" w:lineRule="auto"/>
        <w:rPr>
          <w:rFonts w:cs="Arial"/>
        </w:rPr>
      </w:pPr>
    </w:p>
    <w:p w14:paraId="766F10D4" w14:textId="77777777" w:rsidR="00060E4C" w:rsidRPr="00267A5A" w:rsidRDefault="00060E4C" w:rsidP="00060E4C">
      <w:pPr>
        <w:pStyle w:val="ListParagraph"/>
        <w:numPr>
          <w:ilvl w:val="0"/>
          <w:numId w:val="1"/>
        </w:numPr>
        <w:spacing w:line="240" w:lineRule="auto"/>
        <w:rPr>
          <w:rFonts w:cs="Arial"/>
        </w:rPr>
      </w:pPr>
      <w:r w:rsidRPr="00267A5A">
        <w:rPr>
          <w:rFonts w:cs="Arial"/>
        </w:rPr>
        <w:t xml:space="preserve">Further analysis suggests that while London schools are somewhat disadvantaged by teaching relatively poor intakes (they have relatively high rates of FSM pupils and pupils in deprived neighbourhoods), they are to a much greater extent advantaged by teaching particular ethnic groups who nationally tend to make high progress (in particular, Black Africans, Any Other Ethnic Group, Any Other White Background, Bangladeshi, and Indian). They also teach high proportions of pupils who speak English as an additional language, another high progress pupil group. </w:t>
      </w:r>
    </w:p>
    <w:p w14:paraId="1DE58AF5" w14:textId="77777777" w:rsidR="00060E4C" w:rsidRPr="00267A5A" w:rsidRDefault="00060E4C" w:rsidP="00060E4C">
      <w:pPr>
        <w:pStyle w:val="ListParagraph"/>
        <w:spacing w:line="240" w:lineRule="auto"/>
        <w:rPr>
          <w:rFonts w:cs="Arial"/>
        </w:rPr>
      </w:pPr>
    </w:p>
    <w:p w14:paraId="0A1088E3" w14:textId="77777777" w:rsidR="00D47FBB" w:rsidRPr="00267A5A" w:rsidRDefault="00D47FBB" w:rsidP="00D47FBB">
      <w:pPr>
        <w:pStyle w:val="ListParagraph"/>
        <w:numPr>
          <w:ilvl w:val="0"/>
          <w:numId w:val="1"/>
        </w:numPr>
        <w:spacing w:line="240" w:lineRule="auto"/>
        <w:rPr>
          <w:rFonts w:cs="Arial"/>
        </w:rPr>
      </w:pPr>
      <w:r w:rsidRPr="00267A5A">
        <w:rPr>
          <w:rFonts w:cs="Arial"/>
        </w:rPr>
        <w:t>Now consider school in the North</w:t>
      </w:r>
      <w:r w:rsidR="002254D2">
        <w:rPr>
          <w:rFonts w:cs="Arial"/>
        </w:rPr>
        <w:t xml:space="preserve"> East (153 schools: 4.8</w:t>
      </w:r>
      <w:r w:rsidRPr="00267A5A">
        <w:rPr>
          <w:rFonts w:cs="Arial"/>
        </w:rPr>
        <w:t>%), the region which shows the lowest average pupil progress according to P</w:t>
      </w:r>
      <w:r w:rsidR="002254D2">
        <w:rPr>
          <w:rFonts w:cs="Arial"/>
        </w:rPr>
        <w:t>rogress 8, with a score of -0.20</w:t>
      </w:r>
      <w:r w:rsidRPr="00267A5A">
        <w:rPr>
          <w:rFonts w:cs="Arial"/>
        </w:rPr>
        <w:t xml:space="preserve">. Under Adjusted Progress 8, this score increases to </w:t>
      </w:r>
      <w:r w:rsidR="00462FD5">
        <w:rPr>
          <w:rFonts w:cs="Arial"/>
        </w:rPr>
        <w:t>-</w:t>
      </w:r>
      <w:r w:rsidRPr="00267A5A">
        <w:rPr>
          <w:rFonts w:cs="Arial"/>
        </w:rPr>
        <w:t xml:space="preserve">0.01. Essentially, under Progress 8, schools in the North East are doubly disadvantaged by teaching not just relatively poor intakes, but by also disproportionately teaching White British pupils. Both of these pupil characteristics are associated with below average progress (Figure 1). </w:t>
      </w:r>
    </w:p>
    <w:p w14:paraId="37602290" w14:textId="77777777" w:rsidR="00D47FBB" w:rsidRPr="00267A5A" w:rsidRDefault="00D47FBB" w:rsidP="00D47FBB">
      <w:pPr>
        <w:pStyle w:val="ListParagraph"/>
        <w:rPr>
          <w:rFonts w:cs="Arial"/>
        </w:rPr>
      </w:pPr>
    </w:p>
    <w:p w14:paraId="7E1ACDB1" w14:textId="77777777" w:rsidR="00D350BA" w:rsidRPr="00267A5A" w:rsidRDefault="00D47FBB" w:rsidP="00D350BA">
      <w:pPr>
        <w:pStyle w:val="ListParagraph"/>
        <w:numPr>
          <w:ilvl w:val="0"/>
          <w:numId w:val="1"/>
        </w:numPr>
        <w:spacing w:line="240" w:lineRule="auto"/>
        <w:rPr>
          <w:rFonts w:cs="Arial"/>
        </w:rPr>
      </w:pPr>
      <w:r w:rsidRPr="00267A5A">
        <w:rPr>
          <w:rFonts w:cs="Arial"/>
        </w:rPr>
        <w:t xml:space="preserve">Average pupil progress for many school types remains approximately the same when we move from Progress 8 to Adjusted Progress 8. However, for some school types, average </w:t>
      </w:r>
      <w:r w:rsidR="00D350BA" w:rsidRPr="00267A5A">
        <w:rPr>
          <w:rFonts w:cs="Arial"/>
        </w:rPr>
        <w:t xml:space="preserve">pupil progress changes markedly. In particular, </w:t>
      </w:r>
      <w:r w:rsidR="002254D2">
        <w:rPr>
          <w:rFonts w:cs="Arial"/>
        </w:rPr>
        <w:t>among converter academies (1,479</w:t>
      </w:r>
      <w:r w:rsidR="00D350BA" w:rsidRPr="00267A5A">
        <w:rPr>
          <w:rFonts w:cs="Arial"/>
        </w:rPr>
        <w:t xml:space="preserve"> school</w:t>
      </w:r>
      <w:r w:rsidR="002254D2">
        <w:rPr>
          <w:rFonts w:cs="Arial"/>
        </w:rPr>
        <w:t>s; 46.3</w:t>
      </w:r>
      <w:r w:rsidR="00D350BA" w:rsidRPr="00267A5A">
        <w:rPr>
          <w:rFonts w:cs="Arial"/>
        </w:rPr>
        <w:t>% of all schools), averag</w:t>
      </w:r>
      <w:r w:rsidR="00462FD5">
        <w:rPr>
          <w:rFonts w:cs="Arial"/>
        </w:rPr>
        <w:t>e pupil progress drops from 0.11 to 0.06</w:t>
      </w:r>
      <w:r w:rsidR="00D350BA" w:rsidRPr="00267A5A">
        <w:rPr>
          <w:rFonts w:cs="Arial"/>
        </w:rPr>
        <w:t>, whil</w:t>
      </w:r>
      <w:r w:rsidR="002254D2">
        <w:rPr>
          <w:rFonts w:cs="Arial"/>
        </w:rPr>
        <w:t>e among sponsored academies (691; 21.6</w:t>
      </w:r>
      <w:r w:rsidR="00D350BA" w:rsidRPr="00267A5A">
        <w:rPr>
          <w:rFonts w:cs="Arial"/>
        </w:rPr>
        <w:t>%), average pup</w:t>
      </w:r>
      <w:r w:rsidR="002254D2">
        <w:rPr>
          <w:rFonts w:cs="Arial"/>
        </w:rPr>
        <w:t>il progress increases from -0.18 to -0.04</w:t>
      </w:r>
      <w:r w:rsidR="00D350BA" w:rsidRPr="00267A5A">
        <w:rPr>
          <w:rFonts w:cs="Arial"/>
        </w:rPr>
        <w:t>. Here the driving factor for the reduction in the apparent difference in performance is that converter academies teach a much low</w:t>
      </w:r>
      <w:r w:rsidR="00885D17">
        <w:rPr>
          <w:rFonts w:cs="Arial"/>
        </w:rPr>
        <w:t>er percentage of poor pupils (18.9</w:t>
      </w:r>
      <w:r w:rsidR="00D350BA" w:rsidRPr="00267A5A">
        <w:rPr>
          <w:rFonts w:cs="Arial"/>
        </w:rPr>
        <w:t>% eligible for F</w:t>
      </w:r>
      <w:r w:rsidR="00885D17">
        <w:rPr>
          <w:rFonts w:cs="Arial"/>
        </w:rPr>
        <w:t>SM) than sponsored academies (36.8</w:t>
      </w:r>
      <w:r w:rsidR="00D350BA" w:rsidRPr="00267A5A">
        <w:rPr>
          <w:rFonts w:cs="Arial"/>
        </w:rPr>
        <w:t xml:space="preserve">% eligible for FSM). </w:t>
      </w:r>
    </w:p>
    <w:p w14:paraId="65520845" w14:textId="77777777" w:rsidR="00D350BA" w:rsidRPr="00267A5A" w:rsidRDefault="00D350BA" w:rsidP="00D350BA">
      <w:pPr>
        <w:pStyle w:val="ListParagraph"/>
        <w:rPr>
          <w:rFonts w:cs="Arial"/>
        </w:rPr>
      </w:pPr>
    </w:p>
    <w:p w14:paraId="17141A68" w14:textId="77777777" w:rsidR="00D350BA" w:rsidRPr="00267A5A" w:rsidRDefault="00D350BA" w:rsidP="00D350BA">
      <w:pPr>
        <w:pStyle w:val="ListParagraph"/>
        <w:numPr>
          <w:ilvl w:val="0"/>
          <w:numId w:val="1"/>
        </w:numPr>
        <w:spacing w:line="240" w:lineRule="auto"/>
        <w:rPr>
          <w:rFonts w:cs="Arial"/>
        </w:rPr>
      </w:pPr>
      <w:r w:rsidRPr="00267A5A">
        <w:rPr>
          <w:rFonts w:cs="Arial"/>
        </w:rPr>
        <w:t>Similarly, the very low average pupil progress seen in both un</w:t>
      </w:r>
      <w:r w:rsidR="00885D17">
        <w:rPr>
          <w:rFonts w:cs="Arial"/>
        </w:rPr>
        <w:t>iversity technical colleges (46</w:t>
      </w:r>
      <w:r w:rsidR="00490435">
        <w:rPr>
          <w:rFonts w:cs="Arial"/>
        </w:rPr>
        <w:t xml:space="preserve"> schools: 1.4</w:t>
      </w:r>
      <w:r w:rsidRPr="00267A5A">
        <w:rPr>
          <w:rFonts w:cs="Arial"/>
        </w:rPr>
        <w:t xml:space="preserve">%) </w:t>
      </w:r>
      <w:r w:rsidR="00885D17">
        <w:rPr>
          <w:rFonts w:cs="Arial"/>
        </w:rPr>
        <w:t>and studio schools (26 schools: 0.8</w:t>
      </w:r>
      <w:r w:rsidRPr="00267A5A">
        <w:rPr>
          <w:rFonts w:cs="Arial"/>
        </w:rPr>
        <w:t xml:space="preserve">%) is substantially reduced once the types of pupils who tend to attend these schools is taken into account. </w:t>
      </w:r>
      <w:r w:rsidR="00885D17">
        <w:rPr>
          <w:rFonts w:cs="Arial"/>
        </w:rPr>
        <w:t xml:space="preserve">These </w:t>
      </w:r>
      <w:r w:rsidRPr="00267A5A">
        <w:rPr>
          <w:rFonts w:cs="Arial"/>
        </w:rPr>
        <w:t>schools are disadvantaged by teaching a</w:t>
      </w:r>
      <w:r w:rsidR="00885D17">
        <w:rPr>
          <w:rFonts w:cs="Arial"/>
        </w:rPr>
        <w:t xml:space="preserve"> relatively high percentage of SEN pupils and boys</w:t>
      </w:r>
      <w:r w:rsidRPr="00267A5A">
        <w:rPr>
          <w:rFonts w:cs="Arial"/>
        </w:rPr>
        <w:t>.</w:t>
      </w:r>
    </w:p>
    <w:p w14:paraId="7945CB5D" w14:textId="77777777" w:rsidR="0018578A" w:rsidRPr="00267A5A" w:rsidRDefault="0018578A" w:rsidP="0018578A">
      <w:pPr>
        <w:pStyle w:val="ListParagraph"/>
        <w:rPr>
          <w:rFonts w:cs="Arial"/>
        </w:rPr>
      </w:pPr>
    </w:p>
    <w:p w14:paraId="0597A8D9" w14:textId="77777777" w:rsidR="006B5D83" w:rsidRDefault="0018578A" w:rsidP="00C75376">
      <w:pPr>
        <w:pStyle w:val="ListParagraph"/>
        <w:numPr>
          <w:ilvl w:val="0"/>
          <w:numId w:val="1"/>
        </w:numPr>
        <w:spacing w:line="240" w:lineRule="auto"/>
        <w:rPr>
          <w:rFonts w:cs="Arial"/>
        </w:rPr>
      </w:pPr>
      <w:r w:rsidRPr="00267A5A">
        <w:rPr>
          <w:rFonts w:cs="Arial"/>
        </w:rPr>
        <w:t>In terms of school admissions, according to Progress 8, pupils in grammar schools score,</w:t>
      </w:r>
      <w:r w:rsidR="00FE37B1">
        <w:rPr>
          <w:rFonts w:cs="Arial"/>
        </w:rPr>
        <w:t xml:space="preserve"> on average, a considerable 0.55</w:t>
      </w:r>
      <w:r w:rsidRPr="00267A5A">
        <w:rPr>
          <w:rFonts w:cs="Arial"/>
        </w:rPr>
        <w:t xml:space="preserve"> grades higher per subject than pupils nationally with the same prior attainment. However, under Adjusted Progress 8, the apparent benefit of attending a grammar school is reduced by</w:t>
      </w:r>
      <w:r w:rsidR="00490435">
        <w:rPr>
          <w:rFonts w:cs="Arial"/>
        </w:rPr>
        <w:t xml:space="preserve"> over a quarter</w:t>
      </w:r>
      <w:r w:rsidRPr="00267A5A">
        <w:rPr>
          <w:rFonts w:cs="Arial"/>
        </w:rPr>
        <w:t>: averag</w:t>
      </w:r>
      <w:r w:rsidR="00FE37B1">
        <w:rPr>
          <w:rFonts w:cs="Arial"/>
        </w:rPr>
        <w:t>e pupil progress drops from 0.55 to 0.39</w:t>
      </w:r>
      <w:r w:rsidRPr="00267A5A">
        <w:rPr>
          <w:rFonts w:cs="Arial"/>
        </w:rPr>
        <w:t>. Grammar schools are especially advantaged by the low percen</w:t>
      </w:r>
      <w:r w:rsidR="00C8540A">
        <w:rPr>
          <w:rFonts w:cs="Arial"/>
        </w:rPr>
        <w:t>tage of poor (6.4</w:t>
      </w:r>
      <w:r w:rsidRPr="00267A5A">
        <w:rPr>
          <w:rFonts w:cs="Arial"/>
        </w:rPr>
        <w:t xml:space="preserve">%) and </w:t>
      </w:r>
      <w:r w:rsidR="00C8540A">
        <w:rPr>
          <w:rFonts w:cs="Arial"/>
        </w:rPr>
        <w:t>to</w:t>
      </w:r>
      <w:r w:rsidR="00FE37B1">
        <w:rPr>
          <w:rFonts w:cs="Arial"/>
        </w:rPr>
        <w:t xml:space="preserve"> a lesser extent SEN pupils (6</w:t>
      </w:r>
      <w:r w:rsidRPr="00267A5A">
        <w:rPr>
          <w:rFonts w:cs="Arial"/>
        </w:rPr>
        <w:t xml:space="preserve">%) they teach, but are also advantaged by disproportionately teaching various high progress ethnic groups. </w:t>
      </w:r>
    </w:p>
    <w:p w14:paraId="26353C43" w14:textId="77777777" w:rsidR="00C75376" w:rsidRPr="00C75376" w:rsidRDefault="00C75376" w:rsidP="00C75376">
      <w:pPr>
        <w:pStyle w:val="ListParagraph"/>
        <w:spacing w:line="240" w:lineRule="auto"/>
        <w:rPr>
          <w:rFonts w:cs="Arial"/>
        </w:rPr>
      </w:pPr>
    </w:p>
    <w:p w14:paraId="6355AF5A" w14:textId="77777777" w:rsidR="006B5D83" w:rsidRPr="00267A5A" w:rsidRDefault="006B5D83" w:rsidP="00D350BA">
      <w:pPr>
        <w:pStyle w:val="ListParagraph"/>
        <w:numPr>
          <w:ilvl w:val="0"/>
          <w:numId w:val="1"/>
        </w:numPr>
        <w:spacing w:line="240" w:lineRule="auto"/>
        <w:rPr>
          <w:rFonts w:cs="Arial"/>
        </w:rPr>
      </w:pPr>
      <w:r w:rsidRPr="00267A5A">
        <w:rPr>
          <w:rFonts w:cs="Arial"/>
        </w:rPr>
        <w:t>While nearly all schools in England are mixed-sex, there are a small number of all-girls schools (</w:t>
      </w:r>
      <w:r w:rsidR="00A92695">
        <w:rPr>
          <w:rFonts w:cs="Arial"/>
        </w:rPr>
        <w:t>206</w:t>
      </w:r>
      <w:r w:rsidR="00490435">
        <w:rPr>
          <w:rFonts w:cs="Arial"/>
        </w:rPr>
        <w:t xml:space="preserve"> schools; 6.5</w:t>
      </w:r>
      <w:r w:rsidRPr="00267A5A">
        <w:rPr>
          <w:rFonts w:cs="Arial"/>
        </w:rPr>
        <w:t>% of all sc</w:t>
      </w:r>
      <w:r w:rsidR="00490435">
        <w:rPr>
          <w:rFonts w:cs="Arial"/>
        </w:rPr>
        <w:t>h</w:t>
      </w:r>
      <w:r w:rsidR="00A92695">
        <w:rPr>
          <w:rFonts w:cs="Arial"/>
        </w:rPr>
        <w:t xml:space="preserve">ools) and all-boys schools (150 </w:t>
      </w:r>
      <w:r w:rsidR="00490435">
        <w:rPr>
          <w:rFonts w:cs="Arial"/>
        </w:rPr>
        <w:t>schools; 4.7</w:t>
      </w:r>
      <w:r w:rsidRPr="00267A5A">
        <w:rPr>
          <w:rFonts w:cs="Arial"/>
        </w:rPr>
        <w:t>%). Progress 8 suggests pupils in single-sex schools, especially all-girls schools, make more progress than pupils in mixed-sex schools. However, average pupil progress in all-girls sc</w:t>
      </w:r>
      <w:r w:rsidR="00A92695">
        <w:rPr>
          <w:rFonts w:cs="Arial"/>
        </w:rPr>
        <w:t>hools drops from 0.61</w:t>
      </w:r>
      <w:r w:rsidR="00490435">
        <w:rPr>
          <w:rFonts w:cs="Arial"/>
        </w:rPr>
        <w:t xml:space="preserve"> to 0.23</w:t>
      </w:r>
      <w:r w:rsidRPr="00267A5A">
        <w:rPr>
          <w:rFonts w:cs="Arial"/>
        </w:rPr>
        <w:t xml:space="preserve"> when we move from Progress 8 to Adjusted Progress 8. In contrast, the average pupil progress in all</w:t>
      </w:r>
      <w:r w:rsidR="00490435">
        <w:rPr>
          <w:rFonts w:cs="Arial"/>
        </w:rPr>
        <w:t>-boys schools increases from 0.</w:t>
      </w:r>
      <w:r w:rsidRPr="00267A5A">
        <w:rPr>
          <w:rFonts w:cs="Arial"/>
        </w:rPr>
        <w:t>2</w:t>
      </w:r>
      <w:r w:rsidR="00A92695">
        <w:rPr>
          <w:rFonts w:cs="Arial"/>
        </w:rPr>
        <w:t>0 to 0.29</w:t>
      </w:r>
      <w:r w:rsidRPr="00267A5A">
        <w:rPr>
          <w:rFonts w:cs="Arial"/>
        </w:rPr>
        <w:t xml:space="preserve"> and so the performance of all-boys schools now appears more impressive than that of all-girls schools. The reason for this change is that Adjusted Progress 8 adjusts for pupil gender whereas Progress 8 does not. Nationally, girls outperform boys (Figure 1). Thus, whereas Progress 8 compares girls in all-</w:t>
      </w:r>
      <w:r w:rsidRPr="00267A5A">
        <w:rPr>
          <w:rFonts w:cs="Arial"/>
        </w:rPr>
        <w:lastRenderedPageBreak/>
        <w:t xml:space="preserve">girls schools to girls and boys nationally, Adjusted Progress 8 only compares girls in all-girls schools to girls nationally. We note that single-sex schools are disproportionately grammar schools whose higher average pupil progress we have already reported. </w:t>
      </w:r>
    </w:p>
    <w:p w14:paraId="693507CE" w14:textId="77777777" w:rsidR="006B5D83" w:rsidRPr="00267A5A" w:rsidRDefault="006B5D83" w:rsidP="006B5D83">
      <w:pPr>
        <w:pStyle w:val="ListParagraph"/>
        <w:rPr>
          <w:rFonts w:cs="Arial"/>
        </w:rPr>
      </w:pPr>
    </w:p>
    <w:p w14:paraId="32794A32" w14:textId="77777777" w:rsidR="006B5D83" w:rsidRPr="00267A5A" w:rsidRDefault="006B5D83" w:rsidP="00D350BA">
      <w:pPr>
        <w:pStyle w:val="ListParagraph"/>
        <w:numPr>
          <w:ilvl w:val="0"/>
          <w:numId w:val="1"/>
        </w:numPr>
        <w:spacing w:line="240" w:lineRule="auto"/>
        <w:rPr>
          <w:rFonts w:cs="Arial"/>
        </w:rPr>
      </w:pPr>
      <w:r w:rsidRPr="00267A5A">
        <w:rPr>
          <w:rFonts w:cs="Arial"/>
        </w:rPr>
        <w:t xml:space="preserve">Progress 8 shows pupils in religious schools typically make more progress than those in schools with no religious character. Especially high progress in seen </w:t>
      </w:r>
      <w:r w:rsidR="00490435">
        <w:rPr>
          <w:rFonts w:cs="Arial"/>
        </w:rPr>
        <w:t>i</w:t>
      </w:r>
      <w:r w:rsidR="00A92695">
        <w:rPr>
          <w:rFonts w:cs="Arial"/>
        </w:rPr>
        <w:t>n the small number of Muslim (14 schools), Jewish (13</w:t>
      </w:r>
      <w:r w:rsidR="00490435">
        <w:rPr>
          <w:rFonts w:cs="Arial"/>
        </w:rPr>
        <w:t xml:space="preserve"> schools), Sikh (3 schools), Hindu </w:t>
      </w:r>
      <w:r w:rsidRPr="00267A5A">
        <w:rPr>
          <w:rFonts w:cs="Arial"/>
        </w:rPr>
        <w:t>(1 school)</w:t>
      </w:r>
      <w:r w:rsidR="00490435">
        <w:rPr>
          <w:rFonts w:cs="Arial"/>
        </w:rPr>
        <w:t xml:space="preserve"> and Greek Orthodox (1 school) schools</w:t>
      </w:r>
      <w:r w:rsidR="00607DB0" w:rsidRPr="00267A5A">
        <w:rPr>
          <w:rFonts w:cs="Arial"/>
        </w:rPr>
        <w:t xml:space="preserve">. However, the results for these schools change markedly when we turn to Adjusted Progress 8. In terms of Muslim schools, average pupil progress </w:t>
      </w:r>
      <w:r w:rsidR="00A92695">
        <w:rPr>
          <w:rFonts w:cs="Arial"/>
        </w:rPr>
        <w:t>halves from 1.17 under Progress 8 to 0.60</w:t>
      </w:r>
      <w:r w:rsidR="00607DB0" w:rsidRPr="00267A5A">
        <w:rPr>
          <w:rFonts w:cs="Arial"/>
        </w:rPr>
        <w:t xml:space="preserve">. The intuition for this drop is that these schools teach very high percentages </w:t>
      </w:r>
      <w:r w:rsidR="00A92695">
        <w:rPr>
          <w:rFonts w:cs="Arial"/>
        </w:rPr>
        <w:t>of Indian (38.6%) and Pakistani (37.5</w:t>
      </w:r>
      <w:r w:rsidR="00C8540A">
        <w:rPr>
          <w:rFonts w:cs="Arial"/>
        </w:rPr>
        <w:t>%) pupils, as well as those</w:t>
      </w:r>
      <w:r w:rsidR="00607DB0" w:rsidRPr="00267A5A">
        <w:rPr>
          <w:rFonts w:cs="Arial"/>
        </w:rPr>
        <w:t xml:space="preserve"> don’t speak</w:t>
      </w:r>
      <w:r w:rsidR="00C8540A">
        <w:rPr>
          <w:rFonts w:cs="Arial"/>
        </w:rPr>
        <w:t xml:space="preserve"> E</w:t>
      </w:r>
      <w:r w:rsidR="00A92695">
        <w:rPr>
          <w:rFonts w:cs="Arial"/>
        </w:rPr>
        <w:t>nglish as a first language (81.7</w:t>
      </w:r>
      <w:r w:rsidR="00607DB0" w:rsidRPr="00267A5A">
        <w:rPr>
          <w:rFonts w:cs="Arial"/>
        </w:rPr>
        <w:t xml:space="preserve">%). These characteristics are nationally associated with making high progress (Figure 1). </w:t>
      </w:r>
    </w:p>
    <w:p w14:paraId="72202A44" w14:textId="77777777" w:rsidR="00607DB0" w:rsidRPr="00267A5A" w:rsidRDefault="00607DB0" w:rsidP="00607DB0">
      <w:pPr>
        <w:pStyle w:val="ListParagraph"/>
        <w:rPr>
          <w:rFonts w:cs="Arial"/>
        </w:rPr>
      </w:pPr>
    </w:p>
    <w:p w14:paraId="57026531" w14:textId="77777777" w:rsidR="00607DB0" w:rsidRPr="00267A5A" w:rsidRDefault="00607DB0" w:rsidP="00D350BA">
      <w:pPr>
        <w:pStyle w:val="ListParagraph"/>
        <w:numPr>
          <w:ilvl w:val="0"/>
          <w:numId w:val="1"/>
        </w:numPr>
        <w:spacing w:line="240" w:lineRule="auto"/>
        <w:rPr>
          <w:rFonts w:cs="Arial"/>
        </w:rPr>
      </w:pPr>
      <w:r w:rsidRPr="00267A5A">
        <w:rPr>
          <w:rFonts w:cs="Arial"/>
        </w:rPr>
        <w:t xml:space="preserve">An even more extreme change is shown by the single Hindu school where average </w:t>
      </w:r>
      <w:r w:rsidR="00490435">
        <w:rPr>
          <w:rFonts w:cs="Arial"/>
        </w:rPr>
        <w:t>p</w:t>
      </w:r>
      <w:r w:rsidR="00A92695">
        <w:rPr>
          <w:rFonts w:cs="Arial"/>
        </w:rPr>
        <w:t>upil progress changes from 0.68 under Progress 8 to -0.04</w:t>
      </w:r>
      <w:r w:rsidRPr="00267A5A">
        <w:rPr>
          <w:rFonts w:cs="Arial"/>
        </w:rPr>
        <w:t xml:space="preserve"> under Adjusted Progress 8. The large change seen here reflects that this school almost exclu</w:t>
      </w:r>
      <w:r w:rsidR="00A92695">
        <w:rPr>
          <w:rFonts w:cs="Arial"/>
        </w:rPr>
        <w:t>sively teaches Indian pupils (89.5</w:t>
      </w:r>
      <w:r w:rsidRPr="00267A5A">
        <w:rPr>
          <w:rFonts w:cs="Arial"/>
        </w:rPr>
        <w:t>%), one of the very highest progress ethnic groups.</w:t>
      </w:r>
    </w:p>
    <w:p w14:paraId="11F0F79F" w14:textId="77777777" w:rsidR="00607DB0" w:rsidRPr="00267A5A" w:rsidRDefault="00607DB0" w:rsidP="00607DB0">
      <w:pPr>
        <w:pStyle w:val="ListParagraph"/>
        <w:rPr>
          <w:rFonts w:cs="Arial"/>
        </w:rPr>
      </w:pPr>
    </w:p>
    <w:p w14:paraId="64585B09" w14:textId="77777777" w:rsidR="00607DB0" w:rsidRPr="00267A5A" w:rsidRDefault="00607DB0" w:rsidP="00D350BA">
      <w:pPr>
        <w:pStyle w:val="ListParagraph"/>
        <w:numPr>
          <w:ilvl w:val="0"/>
          <w:numId w:val="1"/>
        </w:numPr>
        <w:spacing w:line="240" w:lineRule="auto"/>
        <w:rPr>
          <w:rFonts w:cs="Arial"/>
        </w:rPr>
      </w:pPr>
      <w:r w:rsidRPr="00267A5A">
        <w:rPr>
          <w:rFonts w:cs="Arial"/>
        </w:rPr>
        <w:t>The average pupil progress for Jewish scho</w:t>
      </w:r>
      <w:r w:rsidR="00FB222E">
        <w:rPr>
          <w:rFonts w:cs="Arial"/>
        </w:rPr>
        <w:t xml:space="preserve">ols, on the other hand, changes relatively </w:t>
      </w:r>
      <w:r w:rsidRPr="00267A5A">
        <w:rPr>
          <w:rFonts w:cs="Arial"/>
        </w:rPr>
        <w:t xml:space="preserve">little. Here an analysis of the underlying data shows that accounting for ethnicity actually raises average pupil progress slightly as Jewish pupils fall under the White British ethnic group which nationally underperforms. However, Jewish schools also teach relatively prosperous intakes and so the net effect is that their average pupil progress is nonetheless lowered when one also additionally accounts for FSM and deprivation.  </w:t>
      </w:r>
    </w:p>
    <w:sectPr w:rsidR="00607DB0" w:rsidRPr="00267A5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F4E22" w14:textId="77777777" w:rsidR="00AD5AD8" w:rsidRDefault="00AD5AD8" w:rsidP="00AD5AD8">
      <w:pPr>
        <w:spacing w:after="0" w:line="240" w:lineRule="auto"/>
      </w:pPr>
      <w:r>
        <w:separator/>
      </w:r>
    </w:p>
  </w:endnote>
  <w:endnote w:type="continuationSeparator" w:id="0">
    <w:p w14:paraId="50ACADAA" w14:textId="77777777" w:rsidR="00AD5AD8" w:rsidRDefault="00AD5AD8" w:rsidP="00AD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269800"/>
      <w:docPartObj>
        <w:docPartGallery w:val="Page Numbers (Bottom of Page)"/>
        <w:docPartUnique/>
      </w:docPartObj>
    </w:sdtPr>
    <w:sdtEndPr>
      <w:rPr>
        <w:noProof/>
      </w:rPr>
    </w:sdtEndPr>
    <w:sdtContent>
      <w:p w14:paraId="1104A05B" w14:textId="77777777" w:rsidR="00AD5AD8" w:rsidRDefault="00AD5AD8">
        <w:pPr>
          <w:pStyle w:val="Footer"/>
          <w:jc w:val="center"/>
        </w:pPr>
        <w:r>
          <w:fldChar w:fldCharType="begin"/>
        </w:r>
        <w:r>
          <w:instrText xml:space="preserve"> PAGE   \* MERGEFORMAT </w:instrText>
        </w:r>
        <w:r>
          <w:fldChar w:fldCharType="separate"/>
        </w:r>
        <w:r w:rsidR="00D77D92">
          <w:rPr>
            <w:noProof/>
          </w:rPr>
          <w:t>9</w:t>
        </w:r>
        <w:r>
          <w:rPr>
            <w:noProof/>
          </w:rPr>
          <w:fldChar w:fldCharType="end"/>
        </w:r>
      </w:p>
    </w:sdtContent>
  </w:sdt>
  <w:p w14:paraId="79888F42" w14:textId="77777777" w:rsidR="00AD5AD8" w:rsidRDefault="00AD5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5BF0D" w14:textId="77777777" w:rsidR="00AD5AD8" w:rsidRDefault="00AD5AD8" w:rsidP="00AD5AD8">
      <w:pPr>
        <w:spacing w:after="0" w:line="240" w:lineRule="auto"/>
      </w:pPr>
      <w:r>
        <w:separator/>
      </w:r>
    </w:p>
  </w:footnote>
  <w:footnote w:type="continuationSeparator" w:id="0">
    <w:p w14:paraId="5C226019" w14:textId="77777777" w:rsidR="00AD5AD8" w:rsidRDefault="00AD5AD8" w:rsidP="00AD5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802CA"/>
    <w:multiLevelType w:val="hybridMultilevel"/>
    <w:tmpl w:val="60D2B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AB6BC6"/>
    <w:multiLevelType w:val="hybridMultilevel"/>
    <w:tmpl w:val="AF9EF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A98"/>
    <w:rsid w:val="00003A7B"/>
    <w:rsid w:val="000511A1"/>
    <w:rsid w:val="00060E4C"/>
    <w:rsid w:val="00085C09"/>
    <w:rsid w:val="000B53F3"/>
    <w:rsid w:val="0011667B"/>
    <w:rsid w:val="00122978"/>
    <w:rsid w:val="001607DA"/>
    <w:rsid w:val="0018578A"/>
    <w:rsid w:val="00197F63"/>
    <w:rsid w:val="001C7043"/>
    <w:rsid w:val="00204A80"/>
    <w:rsid w:val="002254D2"/>
    <w:rsid w:val="00255A2E"/>
    <w:rsid w:val="00267A5A"/>
    <w:rsid w:val="00276346"/>
    <w:rsid w:val="002F2D7D"/>
    <w:rsid w:val="0031470C"/>
    <w:rsid w:val="0032708F"/>
    <w:rsid w:val="00327BE0"/>
    <w:rsid w:val="003422AC"/>
    <w:rsid w:val="0038620B"/>
    <w:rsid w:val="004151DE"/>
    <w:rsid w:val="00461411"/>
    <w:rsid w:val="00462FD5"/>
    <w:rsid w:val="00485C3E"/>
    <w:rsid w:val="00490435"/>
    <w:rsid w:val="004D1A8C"/>
    <w:rsid w:val="004F022A"/>
    <w:rsid w:val="005E249C"/>
    <w:rsid w:val="00607DB0"/>
    <w:rsid w:val="006B1529"/>
    <w:rsid w:val="006B5D83"/>
    <w:rsid w:val="006B6A56"/>
    <w:rsid w:val="00720330"/>
    <w:rsid w:val="00741D0B"/>
    <w:rsid w:val="007706BD"/>
    <w:rsid w:val="00786282"/>
    <w:rsid w:val="00804B18"/>
    <w:rsid w:val="008170B3"/>
    <w:rsid w:val="00837C96"/>
    <w:rsid w:val="00885D17"/>
    <w:rsid w:val="00885E65"/>
    <w:rsid w:val="008F1C28"/>
    <w:rsid w:val="00900B44"/>
    <w:rsid w:val="009061AE"/>
    <w:rsid w:val="00927A98"/>
    <w:rsid w:val="00A05085"/>
    <w:rsid w:val="00A15DC2"/>
    <w:rsid w:val="00A23A2E"/>
    <w:rsid w:val="00A92695"/>
    <w:rsid w:val="00AA130A"/>
    <w:rsid w:val="00AD5302"/>
    <w:rsid w:val="00AD5AD8"/>
    <w:rsid w:val="00B21C5F"/>
    <w:rsid w:val="00BA6903"/>
    <w:rsid w:val="00BE1BA1"/>
    <w:rsid w:val="00C75376"/>
    <w:rsid w:val="00C8540A"/>
    <w:rsid w:val="00CB2C2D"/>
    <w:rsid w:val="00CB52F0"/>
    <w:rsid w:val="00D350BA"/>
    <w:rsid w:val="00D47FBB"/>
    <w:rsid w:val="00D50AEF"/>
    <w:rsid w:val="00D77D92"/>
    <w:rsid w:val="00DA0B95"/>
    <w:rsid w:val="00E009F9"/>
    <w:rsid w:val="00E03B78"/>
    <w:rsid w:val="00E3477C"/>
    <w:rsid w:val="00E374D4"/>
    <w:rsid w:val="00EE58C0"/>
    <w:rsid w:val="00F25ECC"/>
    <w:rsid w:val="00F40958"/>
    <w:rsid w:val="00FB222E"/>
    <w:rsid w:val="00FC7984"/>
    <w:rsid w:val="00FE3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D351"/>
  <w15:chartTrackingRefBased/>
  <w15:docId w15:val="{E9BA2E6E-7D22-4EC8-AE53-19AAC704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A98"/>
    <w:pPr>
      <w:ind w:left="720"/>
      <w:contextualSpacing/>
    </w:pPr>
  </w:style>
  <w:style w:type="character" w:styleId="Hyperlink">
    <w:name w:val="Hyperlink"/>
    <w:basedOn w:val="DefaultParagraphFont"/>
    <w:uiPriority w:val="99"/>
    <w:unhideWhenUsed/>
    <w:rsid w:val="006B1529"/>
    <w:rPr>
      <w:color w:val="0563C1" w:themeColor="hyperlink"/>
      <w:u w:val="single"/>
    </w:rPr>
  </w:style>
  <w:style w:type="paragraph" w:styleId="Header">
    <w:name w:val="header"/>
    <w:basedOn w:val="Normal"/>
    <w:link w:val="HeaderChar"/>
    <w:uiPriority w:val="99"/>
    <w:unhideWhenUsed/>
    <w:rsid w:val="00AD5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AD8"/>
  </w:style>
  <w:style w:type="paragraph" w:styleId="Footer">
    <w:name w:val="footer"/>
    <w:basedOn w:val="Normal"/>
    <w:link w:val="FooterChar"/>
    <w:uiPriority w:val="99"/>
    <w:unhideWhenUsed/>
    <w:rsid w:val="00AD5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AD8"/>
  </w:style>
  <w:style w:type="paragraph" w:styleId="BalloonText">
    <w:name w:val="Balloon Text"/>
    <w:basedOn w:val="Normal"/>
    <w:link w:val="BalloonTextChar"/>
    <w:uiPriority w:val="99"/>
    <w:semiHidden/>
    <w:unhideWhenUsed/>
    <w:rsid w:val="00837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849181">
      <w:bodyDiv w:val="1"/>
      <w:marLeft w:val="0"/>
      <w:marRight w:val="0"/>
      <w:marTop w:val="0"/>
      <w:marBottom w:val="0"/>
      <w:divBdr>
        <w:top w:val="none" w:sz="0" w:space="0" w:color="auto"/>
        <w:left w:val="none" w:sz="0" w:space="0" w:color="auto"/>
        <w:bottom w:val="none" w:sz="0" w:space="0" w:color="auto"/>
        <w:right w:val="none" w:sz="0" w:space="0" w:color="auto"/>
      </w:divBdr>
    </w:div>
    <w:div w:id="1265308370">
      <w:bodyDiv w:val="1"/>
      <w:marLeft w:val="0"/>
      <w:marRight w:val="0"/>
      <w:marTop w:val="0"/>
      <w:marBottom w:val="0"/>
      <w:divBdr>
        <w:top w:val="none" w:sz="0" w:space="0" w:color="auto"/>
        <w:left w:val="none" w:sz="0" w:space="0" w:color="auto"/>
        <w:bottom w:val="none" w:sz="0" w:space="0" w:color="auto"/>
        <w:right w:val="none" w:sz="0" w:space="0" w:color="auto"/>
      </w:divBdr>
    </w:div>
    <w:div w:id="18784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002/berj.3511"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istol.ac.uk/cmm/media/leckie/leckie2018-11-14-london.pdf" TargetMode="External"/><Relationship Id="rId4" Type="http://schemas.openxmlformats.org/officeDocument/2006/relationships/settings" Target="settings.xml"/><Relationship Id="rId9" Type="http://schemas.openxmlformats.org/officeDocument/2006/relationships/hyperlink" Target="https://mediacentral.ucl.ac.uk/Play/1563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27A8-2347-4A2F-92F7-02100C44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10</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Prior</dc:creator>
  <cp:keywords/>
  <dc:description/>
  <cp:lastModifiedBy>Lucy Prior</cp:lastModifiedBy>
  <cp:revision>24</cp:revision>
  <dcterms:created xsi:type="dcterms:W3CDTF">2019-05-29T12:53:00Z</dcterms:created>
  <dcterms:modified xsi:type="dcterms:W3CDTF">2020-12-14T11:18:00Z</dcterms:modified>
</cp:coreProperties>
</file>