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F7C" w:rsidRDefault="0028717F" w:rsidP="0028717F">
      <w:pPr>
        <w:pStyle w:val="Body1"/>
        <w:jc w:val="center"/>
        <w:rPr>
          <w:rFonts w:ascii="Arial" w:hAnsi="Arial" w:cs="Arial"/>
          <w:b/>
          <w:sz w:val="28"/>
          <w:szCs w:val="28"/>
        </w:rPr>
      </w:pPr>
      <w:r w:rsidRPr="0059750D">
        <w:rPr>
          <w:rFonts w:ascii="Arial" w:hAnsi="Arial" w:cs="Arial"/>
          <w:b/>
          <w:sz w:val="28"/>
          <w:szCs w:val="28"/>
        </w:rPr>
        <w:t xml:space="preserve">Technology Enhanced Learning </w:t>
      </w:r>
      <w:r w:rsidR="00C155EF">
        <w:rPr>
          <w:rFonts w:ascii="Arial" w:hAnsi="Arial" w:cs="Arial"/>
          <w:b/>
          <w:sz w:val="28"/>
          <w:szCs w:val="28"/>
        </w:rPr>
        <w:t>Strategy</w:t>
      </w:r>
      <w:r w:rsidR="00F1723C">
        <w:rPr>
          <w:rFonts w:ascii="Arial" w:hAnsi="Arial" w:cs="Arial"/>
          <w:b/>
          <w:sz w:val="28"/>
          <w:szCs w:val="28"/>
        </w:rPr>
        <w:t xml:space="preserve"> 2012</w:t>
      </w:r>
    </w:p>
    <w:p w:rsidR="00DD2E9C" w:rsidRPr="0059750D" w:rsidRDefault="00DD2E9C" w:rsidP="0028717F">
      <w:pPr>
        <w:pStyle w:val="Body1"/>
        <w:jc w:val="center"/>
        <w:rPr>
          <w:rFonts w:ascii="Arial" w:hAnsi="Arial" w:cs="Arial"/>
          <w:b/>
          <w:sz w:val="28"/>
          <w:szCs w:val="28"/>
        </w:rPr>
      </w:pPr>
    </w:p>
    <w:p w:rsidR="00F50F01" w:rsidRDefault="00F50F01" w:rsidP="00DD2E9C">
      <w:pPr>
        <w:rPr>
          <w:rFonts w:cstheme="minorHAnsi"/>
          <w:b/>
          <w:u w:val="single"/>
        </w:rPr>
      </w:pPr>
    </w:p>
    <w:p w:rsidR="003012F4" w:rsidRDefault="003012F4" w:rsidP="003012F4">
      <w:pPr>
        <w:pStyle w:val="Body1"/>
        <w:jc w:val="center"/>
        <w:rPr>
          <w:rFonts w:ascii="Arial" w:hAnsi="Arial" w:cs="Arial"/>
          <w:b/>
          <w:sz w:val="28"/>
          <w:szCs w:val="28"/>
        </w:rPr>
      </w:pPr>
      <w:r w:rsidRPr="0059750D">
        <w:rPr>
          <w:rFonts w:ascii="Arial" w:hAnsi="Arial" w:cs="Arial"/>
          <w:b/>
          <w:sz w:val="28"/>
          <w:szCs w:val="28"/>
        </w:rPr>
        <w:t xml:space="preserve">Technology Enhanced Learning </w:t>
      </w:r>
      <w:r>
        <w:rPr>
          <w:rFonts w:ascii="Arial" w:hAnsi="Arial" w:cs="Arial"/>
          <w:b/>
          <w:sz w:val="28"/>
          <w:szCs w:val="28"/>
        </w:rPr>
        <w:t>Strategy 2012</w:t>
      </w:r>
    </w:p>
    <w:p w:rsidR="003012F4" w:rsidRDefault="00327B72" w:rsidP="003D3B93">
      <w:pPr>
        <w:pStyle w:val="Body1"/>
        <w:rPr>
          <w:rFonts w:ascii="Arial" w:hAnsi="Arial" w:cs="Arial"/>
          <w:b/>
          <w:i/>
          <w:sz w:val="20"/>
        </w:rPr>
      </w:pPr>
      <w:r w:rsidRPr="00327B72">
        <w:rPr>
          <w:rFonts w:cstheme="minorHAnsi"/>
          <w:noProof/>
        </w:rPr>
        <w:pict>
          <v:shapetype id="_x0000_t202" coordsize="21600,21600" o:spt="202" path="m,l,21600r21600,l21600,xe">
            <v:stroke joinstyle="miter"/>
            <v:path gradientshapeok="t" o:connecttype="rect"/>
          </v:shapetype>
          <v:shape id="_x0000_s1026" type="#_x0000_t202" style="position:absolute;margin-left:-.75pt;margin-top:18.2pt;width:472.15pt;height:181.45pt;z-index:-251658752;mso-height-percent:200;mso-height-percent:200;mso-width-relative:margin;mso-height-relative:margin" wrapcoords="-32 -67 -32 21533 21632 21533 21632 -67 -32 -67" fillcolor="#d8d8d8">
            <v:textbox style="mso-next-textbox:#_x0000_s1026;mso-fit-shape-to-text:t">
              <w:txbxContent>
                <w:p w:rsidR="00F50F01" w:rsidRPr="001D3557" w:rsidRDefault="00F50F01" w:rsidP="00261FC7">
                  <w:pPr>
                    <w:tabs>
                      <w:tab w:val="left" w:pos="960"/>
                    </w:tabs>
                    <w:autoSpaceDE w:val="0"/>
                    <w:autoSpaceDN w:val="0"/>
                    <w:adjustRightInd w:val="0"/>
                    <w:spacing w:after="0" w:line="240" w:lineRule="auto"/>
                    <w:rPr>
                      <w:rFonts w:ascii="Calibri" w:eastAsia="Calibri" w:hAnsi="Calibri" w:cs="Calibri"/>
                      <w:i/>
                      <w:color w:val="000000"/>
                      <w:sz w:val="18"/>
                    </w:rPr>
                  </w:pPr>
                  <w:r w:rsidRPr="001D3557">
                    <w:rPr>
                      <w:rFonts w:ascii="Calibri" w:eastAsia="Calibri" w:hAnsi="Calibri" w:cs="Calibri"/>
                      <w:i/>
                      <w:color w:val="000000"/>
                      <w:sz w:val="18"/>
                    </w:rPr>
                    <w:t>The  University Draft TEL Strategy comprises a suite of documents:</w:t>
                  </w:r>
                </w:p>
                <w:p w:rsidR="00F50F01" w:rsidRPr="001D3557" w:rsidRDefault="00F50F01" w:rsidP="00261FC7">
                  <w:pPr>
                    <w:tabs>
                      <w:tab w:val="left" w:pos="960"/>
                    </w:tabs>
                    <w:autoSpaceDE w:val="0"/>
                    <w:autoSpaceDN w:val="0"/>
                    <w:adjustRightInd w:val="0"/>
                    <w:spacing w:after="0" w:line="240" w:lineRule="auto"/>
                    <w:rPr>
                      <w:rFonts w:ascii="Calibri" w:eastAsia="Calibri" w:hAnsi="Calibri" w:cs="Calibri"/>
                      <w:i/>
                      <w:color w:val="000000"/>
                      <w:sz w:val="18"/>
                    </w:rPr>
                  </w:pPr>
                </w:p>
                <w:p w:rsidR="00F50F01" w:rsidRPr="001D3557" w:rsidRDefault="00F50F01" w:rsidP="00261FC7">
                  <w:pPr>
                    <w:pStyle w:val="ListParagraph"/>
                    <w:numPr>
                      <w:ilvl w:val="0"/>
                      <w:numId w:val="6"/>
                    </w:numPr>
                    <w:tabs>
                      <w:tab w:val="left" w:pos="426"/>
                    </w:tabs>
                    <w:autoSpaceDE w:val="0"/>
                    <w:autoSpaceDN w:val="0"/>
                    <w:adjustRightInd w:val="0"/>
                    <w:spacing w:after="0" w:line="240" w:lineRule="auto"/>
                    <w:rPr>
                      <w:rFonts w:ascii="Calibri" w:eastAsia="Calibri" w:hAnsi="Calibri" w:cs="Calibri"/>
                      <w:i/>
                      <w:color w:val="000000"/>
                      <w:sz w:val="18"/>
                    </w:rPr>
                  </w:pPr>
                  <w:r w:rsidRPr="001D3557">
                    <w:rPr>
                      <w:rFonts w:ascii="Calibri" w:eastAsia="Calibri" w:hAnsi="Calibri" w:cs="Calibri"/>
                      <w:i/>
                      <w:color w:val="000000"/>
                      <w:sz w:val="18"/>
                    </w:rPr>
                    <w:t>A TEL  Strategy  setting out the principles of our approach (attached) ;</w:t>
                  </w:r>
                </w:p>
                <w:p w:rsidR="00F50F01" w:rsidRPr="001D3557" w:rsidRDefault="00F50F01" w:rsidP="00261FC7">
                  <w:pPr>
                    <w:pStyle w:val="ListParagraph"/>
                    <w:numPr>
                      <w:ilvl w:val="0"/>
                      <w:numId w:val="6"/>
                    </w:numPr>
                    <w:tabs>
                      <w:tab w:val="left" w:pos="426"/>
                    </w:tabs>
                    <w:autoSpaceDE w:val="0"/>
                    <w:autoSpaceDN w:val="0"/>
                    <w:adjustRightInd w:val="0"/>
                    <w:spacing w:after="0" w:line="240" w:lineRule="auto"/>
                    <w:rPr>
                      <w:rFonts w:ascii="Calibri" w:eastAsia="Calibri" w:hAnsi="Calibri" w:cs="Calibri"/>
                      <w:i/>
                      <w:sz w:val="18"/>
                    </w:rPr>
                  </w:pPr>
                  <w:r w:rsidRPr="001D3557">
                    <w:rPr>
                      <w:rFonts w:ascii="Calibri" w:eastAsia="Calibri" w:hAnsi="Calibri" w:cs="Calibri"/>
                      <w:i/>
                      <w:color w:val="000000"/>
                      <w:sz w:val="18"/>
                    </w:rPr>
                    <w:t xml:space="preserve">A TEL Roadmap </w:t>
                  </w:r>
                  <w:r w:rsidRPr="001D3557">
                    <w:rPr>
                      <w:rFonts w:ascii="Calibri" w:eastAsia="Calibri" w:hAnsi="Calibri" w:cs="Calibri"/>
                      <w:i/>
                      <w:sz w:val="18"/>
                    </w:rPr>
                    <w:t>that underpins the Strategic Aims, a resource for developing workstreams, and identifying principles and outcome objectives for potential projects;</w:t>
                  </w:r>
                </w:p>
                <w:p w:rsidR="00F50F01" w:rsidRPr="001D3557" w:rsidRDefault="00F50F01" w:rsidP="00261FC7">
                  <w:pPr>
                    <w:pStyle w:val="ListParagraph"/>
                    <w:numPr>
                      <w:ilvl w:val="0"/>
                      <w:numId w:val="6"/>
                    </w:numPr>
                    <w:tabs>
                      <w:tab w:val="left" w:pos="426"/>
                    </w:tabs>
                    <w:autoSpaceDE w:val="0"/>
                    <w:autoSpaceDN w:val="0"/>
                    <w:adjustRightInd w:val="0"/>
                    <w:spacing w:after="0" w:line="240" w:lineRule="auto"/>
                    <w:rPr>
                      <w:rFonts w:ascii="Calibri" w:eastAsia="Calibri" w:hAnsi="Calibri" w:cs="Calibri"/>
                      <w:i/>
                      <w:sz w:val="18"/>
                    </w:rPr>
                  </w:pPr>
                  <w:r w:rsidRPr="001D3557">
                    <w:rPr>
                      <w:rFonts w:ascii="Calibri" w:eastAsia="Calibri" w:hAnsi="Calibri" w:cs="Calibri"/>
                      <w:i/>
                      <w:sz w:val="18"/>
                    </w:rPr>
                    <w:t xml:space="preserve">A Key Challenges and Trends paper that will be revised periodically in light of international annual trends assessments such as ECAR, the HE Horizon Scan and internal staff and student surveying. </w:t>
                  </w:r>
                </w:p>
                <w:p w:rsidR="00F50F01" w:rsidRPr="001D3557" w:rsidRDefault="00F50F01" w:rsidP="00261FC7">
                  <w:pPr>
                    <w:autoSpaceDE w:val="0"/>
                    <w:autoSpaceDN w:val="0"/>
                    <w:adjustRightInd w:val="0"/>
                    <w:spacing w:after="0" w:line="240" w:lineRule="auto"/>
                    <w:rPr>
                      <w:rFonts w:ascii="Calibri" w:eastAsia="Calibri" w:hAnsi="Calibri" w:cs="Calibri"/>
                      <w:i/>
                      <w:color w:val="000000"/>
                      <w:sz w:val="18"/>
                    </w:rPr>
                  </w:pPr>
                </w:p>
                <w:p w:rsidR="00F50F01" w:rsidRPr="001D3557" w:rsidRDefault="00F50F01" w:rsidP="00261FC7">
                  <w:pPr>
                    <w:tabs>
                      <w:tab w:val="left" w:pos="960"/>
                    </w:tabs>
                    <w:autoSpaceDE w:val="0"/>
                    <w:autoSpaceDN w:val="0"/>
                    <w:adjustRightInd w:val="0"/>
                    <w:spacing w:after="0" w:line="240" w:lineRule="auto"/>
                    <w:rPr>
                      <w:rFonts w:ascii="Calibri" w:eastAsia="Calibri" w:hAnsi="Calibri" w:cs="Calibri"/>
                      <w:i/>
                      <w:color w:val="000000"/>
                      <w:sz w:val="18"/>
                    </w:rPr>
                  </w:pPr>
                </w:p>
                <w:p w:rsidR="00F50F01" w:rsidRPr="001D3557" w:rsidRDefault="00F50F01" w:rsidP="00261FC7">
                  <w:pPr>
                    <w:rPr>
                      <w:rFonts w:ascii="Calibri" w:eastAsia="Calibri" w:hAnsi="Calibri" w:cs="Times New Roman"/>
                      <w:i/>
                      <w:sz w:val="18"/>
                    </w:rPr>
                  </w:pPr>
                  <w:r w:rsidRPr="001D3557">
                    <w:rPr>
                      <w:rFonts w:ascii="Calibri" w:eastAsia="Calibri" w:hAnsi="Calibri" w:cs="Calibri"/>
                      <w:i/>
                      <w:sz w:val="18"/>
                    </w:rPr>
                    <w:t xml:space="preserve">The  Roadmap  produced as part of this process,  seeks to capture the direction of travel and to group the key themes and possible future work streams. It has sought to capture all key story lines, so as to reassure people as to how their particular perspective and priorities are reflected within the approach. The document will become a core resource document for use during implementation, </w:t>
                  </w:r>
                  <w:r>
                    <w:rPr>
                      <w:rFonts w:ascii="Calibri" w:eastAsia="Calibri" w:hAnsi="Calibri" w:cs="Calibri"/>
                      <w:i/>
                      <w:sz w:val="18"/>
                    </w:rPr>
                    <w:t>regularly revis</w:t>
                  </w:r>
                  <w:r w:rsidR="003012F4">
                    <w:rPr>
                      <w:rFonts w:ascii="Calibri" w:eastAsia="Calibri" w:hAnsi="Calibri" w:cs="Calibri"/>
                      <w:i/>
                      <w:sz w:val="18"/>
                    </w:rPr>
                    <w:t>i</w:t>
                  </w:r>
                  <w:r>
                    <w:rPr>
                      <w:rFonts w:ascii="Calibri" w:eastAsia="Calibri" w:hAnsi="Calibri" w:cs="Calibri"/>
                      <w:i/>
                      <w:sz w:val="18"/>
                    </w:rPr>
                    <w:t xml:space="preserve">ted, </w:t>
                  </w:r>
                  <w:r w:rsidRPr="001D3557">
                    <w:rPr>
                      <w:rFonts w:ascii="Calibri" w:eastAsia="Calibri" w:hAnsi="Calibri" w:cs="Calibri"/>
                      <w:i/>
                      <w:sz w:val="18"/>
                    </w:rPr>
                    <w:t xml:space="preserve">as the TEL Strategy itself is short and seeks to capture the principles of the approach rather than a detailed priority list. </w:t>
                  </w:r>
                </w:p>
              </w:txbxContent>
            </v:textbox>
            <w10:wrap type="tight"/>
          </v:shape>
        </w:pict>
      </w:r>
    </w:p>
    <w:p w:rsidR="00261FC7" w:rsidRDefault="00261FC7" w:rsidP="00261FC7">
      <w:pPr>
        <w:rPr>
          <w:b/>
          <w:u w:val="single"/>
        </w:rPr>
      </w:pPr>
    </w:p>
    <w:p w:rsidR="00261FC7" w:rsidRPr="001D3557" w:rsidRDefault="00261FC7" w:rsidP="00261FC7">
      <w:pPr>
        <w:rPr>
          <w:rFonts w:ascii="Calibri" w:eastAsia="Calibri" w:hAnsi="Calibri" w:cs="Times New Roman"/>
          <w:b/>
          <w:u w:val="single"/>
        </w:rPr>
      </w:pPr>
      <w:r w:rsidRPr="001D3557">
        <w:rPr>
          <w:rFonts w:ascii="Calibri" w:eastAsia="Calibri" w:hAnsi="Calibri" w:cs="Times New Roman"/>
          <w:b/>
          <w:u w:val="single"/>
        </w:rPr>
        <w:t>OUTCOME</w:t>
      </w:r>
    </w:p>
    <w:p w:rsidR="00261FC7" w:rsidRPr="001D3557" w:rsidRDefault="00261FC7" w:rsidP="00261FC7">
      <w:pPr>
        <w:spacing w:line="240" w:lineRule="auto"/>
        <w:rPr>
          <w:rFonts w:ascii="Calibri" w:eastAsia="Calibri" w:hAnsi="Calibri" w:cs="Times New Roman"/>
          <w:b/>
        </w:rPr>
      </w:pPr>
      <w:r w:rsidRPr="001D3557">
        <w:rPr>
          <w:rFonts w:ascii="Calibri" w:eastAsia="Calibri" w:hAnsi="Calibri" w:cs="Times New Roman"/>
          <w:b/>
        </w:rPr>
        <w:t>The outcome of the TEL Strategy will be a future state in which:</w:t>
      </w:r>
    </w:p>
    <w:p w:rsidR="00261FC7" w:rsidRPr="003D2893" w:rsidRDefault="00985853" w:rsidP="00261FC7">
      <w:pPr>
        <w:pStyle w:val="ListParagraph"/>
        <w:numPr>
          <w:ilvl w:val="0"/>
          <w:numId w:val="4"/>
        </w:numPr>
        <w:spacing w:line="240" w:lineRule="auto"/>
        <w:rPr>
          <w:rFonts w:ascii="Calibri" w:eastAsia="Calibri" w:hAnsi="Calibri" w:cs="Times New Roman"/>
          <w:b/>
        </w:rPr>
      </w:pPr>
      <w:r w:rsidRPr="003D2893">
        <w:rPr>
          <w:rFonts w:ascii="Calibri" w:eastAsia="Calibri" w:hAnsi="Calibri" w:cs="Times New Roman"/>
          <w:b/>
        </w:rPr>
        <w:t xml:space="preserve">The Bristol Experience </w:t>
      </w:r>
      <w:r w:rsidR="00261FC7" w:rsidRPr="003D2893">
        <w:rPr>
          <w:rFonts w:ascii="Calibri" w:eastAsia="Calibri" w:hAnsi="Calibri" w:cs="Times New Roman"/>
          <w:b/>
        </w:rPr>
        <w:t xml:space="preserve">will </w:t>
      </w:r>
      <w:r w:rsidRPr="003D2893">
        <w:rPr>
          <w:rFonts w:ascii="Calibri" w:eastAsia="Calibri" w:hAnsi="Calibri" w:cs="Times New Roman"/>
          <w:b/>
        </w:rPr>
        <w:t xml:space="preserve">be </w:t>
      </w:r>
      <w:r w:rsidR="00261FC7" w:rsidRPr="003D2893">
        <w:rPr>
          <w:rFonts w:ascii="Calibri" w:eastAsia="Calibri" w:hAnsi="Calibri" w:cs="Times New Roman"/>
          <w:b/>
        </w:rPr>
        <w:t>globally-connected, future  aware</w:t>
      </w:r>
      <w:r w:rsidR="003D2893">
        <w:rPr>
          <w:rFonts w:ascii="Calibri" w:eastAsia="Calibri" w:hAnsi="Calibri" w:cs="Times New Roman"/>
          <w:b/>
        </w:rPr>
        <w:t xml:space="preserve"> and  research intensive, producing</w:t>
      </w:r>
      <w:r w:rsidR="00261FC7" w:rsidRPr="003D2893">
        <w:rPr>
          <w:rFonts w:ascii="Calibri" w:eastAsia="Calibri" w:hAnsi="Calibri" w:cs="Times New Roman"/>
          <w:b/>
        </w:rPr>
        <w:t xml:space="preserve"> communities of  active independent learners  grounded in core disciplinary research</w:t>
      </w:r>
      <w:r w:rsidR="00AD36C8">
        <w:rPr>
          <w:rFonts w:ascii="Calibri" w:eastAsia="Calibri" w:hAnsi="Calibri" w:cs="Times New Roman"/>
          <w:b/>
        </w:rPr>
        <w:t>,</w:t>
      </w:r>
      <w:r w:rsidR="00261FC7" w:rsidRPr="003D2893">
        <w:rPr>
          <w:rFonts w:ascii="Calibri" w:eastAsia="Calibri" w:hAnsi="Calibri" w:cs="Times New Roman"/>
          <w:b/>
        </w:rPr>
        <w:t xml:space="preserve"> </w:t>
      </w:r>
      <w:r w:rsidR="003D2893">
        <w:rPr>
          <w:rFonts w:ascii="Calibri" w:eastAsia="Calibri" w:hAnsi="Calibri" w:cs="Times New Roman"/>
          <w:b/>
        </w:rPr>
        <w:t>understanding how their</w:t>
      </w:r>
      <w:r w:rsidR="00261FC7" w:rsidRPr="003D2893">
        <w:rPr>
          <w:rFonts w:ascii="Calibri" w:eastAsia="Calibri" w:hAnsi="Calibri" w:cs="Times New Roman"/>
          <w:b/>
        </w:rPr>
        <w:t xml:space="preserve"> disciplines are  responding to technological change;</w:t>
      </w:r>
    </w:p>
    <w:p w:rsidR="00951710" w:rsidRPr="003D2893" w:rsidRDefault="00985853" w:rsidP="00951710">
      <w:pPr>
        <w:pStyle w:val="ListParagraph"/>
        <w:numPr>
          <w:ilvl w:val="0"/>
          <w:numId w:val="4"/>
        </w:numPr>
        <w:autoSpaceDE w:val="0"/>
        <w:autoSpaceDN w:val="0"/>
        <w:adjustRightInd w:val="0"/>
        <w:spacing w:after="0" w:line="240" w:lineRule="auto"/>
        <w:rPr>
          <w:rFonts w:cstheme="minorHAnsi"/>
          <w:color w:val="000000"/>
        </w:rPr>
      </w:pPr>
      <w:r w:rsidRPr="003D2893">
        <w:rPr>
          <w:rFonts w:ascii="Calibri" w:eastAsia="Calibri" w:hAnsi="Calibri" w:cs="Times New Roman"/>
          <w:b/>
        </w:rPr>
        <w:t xml:space="preserve">The </w:t>
      </w:r>
      <w:r w:rsidR="00261FC7" w:rsidRPr="003D2893">
        <w:rPr>
          <w:rFonts w:ascii="Calibri" w:eastAsia="Calibri" w:hAnsi="Calibri" w:cs="Times New Roman"/>
          <w:b/>
        </w:rPr>
        <w:t xml:space="preserve"> Bristol </w:t>
      </w:r>
      <w:r w:rsidRPr="003D2893">
        <w:rPr>
          <w:rFonts w:ascii="Calibri" w:eastAsia="Calibri" w:hAnsi="Calibri" w:cs="Times New Roman"/>
          <w:b/>
        </w:rPr>
        <w:t xml:space="preserve">Experience </w:t>
      </w:r>
      <w:r w:rsidR="00261FC7" w:rsidRPr="003D2893">
        <w:rPr>
          <w:rFonts w:ascii="Calibri" w:eastAsia="Calibri" w:hAnsi="Calibri" w:cs="Times New Roman"/>
          <w:b/>
        </w:rPr>
        <w:t xml:space="preserve"> will integrate living and learning</w:t>
      </w:r>
      <w:r w:rsidRPr="003D2893">
        <w:rPr>
          <w:rFonts w:ascii="Calibri" w:eastAsia="Calibri" w:hAnsi="Calibri" w:cs="Times New Roman"/>
          <w:b/>
        </w:rPr>
        <w:t xml:space="preserve"> to provide </w:t>
      </w:r>
      <w:r w:rsidR="00261FC7" w:rsidRPr="003D2893">
        <w:rPr>
          <w:rFonts w:ascii="Calibri" w:eastAsia="Calibri" w:hAnsi="Calibri" w:cs="Times New Roman"/>
          <w:b/>
        </w:rPr>
        <w:t xml:space="preserve"> the very </w:t>
      </w:r>
      <w:r w:rsidR="0007375D" w:rsidRPr="003D2893">
        <w:rPr>
          <w:rFonts w:ascii="Calibri" w:eastAsia="Calibri" w:hAnsi="Calibri" w:cs="Times New Roman"/>
          <w:b/>
        </w:rPr>
        <w:t xml:space="preserve">best education seamlessly </w:t>
      </w:r>
      <w:r w:rsidR="00CC5790" w:rsidRPr="003D2893">
        <w:rPr>
          <w:rFonts w:ascii="Calibri" w:eastAsia="Calibri" w:hAnsi="Calibri" w:cs="Times New Roman"/>
          <w:b/>
        </w:rPr>
        <w:t xml:space="preserve">supported  </w:t>
      </w:r>
      <w:r w:rsidR="003D2893">
        <w:rPr>
          <w:rFonts w:ascii="Calibri" w:eastAsia="Calibri" w:hAnsi="Calibri" w:cs="Times New Roman"/>
          <w:b/>
        </w:rPr>
        <w:t xml:space="preserve">by </w:t>
      </w:r>
      <w:r w:rsidR="00CC5790" w:rsidRPr="003D2893">
        <w:rPr>
          <w:rFonts w:ascii="Calibri" w:eastAsia="Calibri" w:hAnsi="Calibri" w:cs="Times New Roman"/>
          <w:b/>
        </w:rPr>
        <w:t>technology</w:t>
      </w:r>
      <w:r w:rsidR="003D2893">
        <w:rPr>
          <w:rFonts w:ascii="Calibri" w:eastAsia="Calibri" w:hAnsi="Calibri" w:cs="Times New Roman"/>
          <w:b/>
        </w:rPr>
        <w:t>;</w:t>
      </w:r>
    </w:p>
    <w:p w:rsidR="0007375D" w:rsidRPr="003D2893" w:rsidRDefault="0007375D" w:rsidP="00951710">
      <w:pPr>
        <w:pStyle w:val="ListParagraph"/>
        <w:numPr>
          <w:ilvl w:val="0"/>
          <w:numId w:val="4"/>
        </w:numPr>
        <w:autoSpaceDE w:val="0"/>
        <w:autoSpaceDN w:val="0"/>
        <w:adjustRightInd w:val="0"/>
        <w:spacing w:after="0" w:line="240" w:lineRule="auto"/>
        <w:rPr>
          <w:rFonts w:cstheme="minorHAnsi"/>
          <w:color w:val="000000"/>
        </w:rPr>
      </w:pPr>
      <w:r w:rsidRPr="003D2893">
        <w:rPr>
          <w:rFonts w:ascii="Calibri" w:eastAsia="Calibri" w:hAnsi="Calibri" w:cs="Times New Roman"/>
          <w:b/>
        </w:rPr>
        <w:t>A University that can a</w:t>
      </w:r>
      <w:r w:rsidR="00CC5790" w:rsidRPr="003D2893">
        <w:rPr>
          <w:rFonts w:ascii="Calibri" w:eastAsia="Calibri" w:hAnsi="Calibri" w:cs="Times New Roman"/>
          <w:b/>
        </w:rPr>
        <w:t>c</w:t>
      </w:r>
      <w:r w:rsidRPr="003D2893">
        <w:rPr>
          <w:rFonts w:ascii="Calibri" w:eastAsia="Calibri" w:hAnsi="Calibri" w:cs="Times New Roman"/>
          <w:b/>
        </w:rPr>
        <w:t>t pro-actively and reactively in a timely fas</w:t>
      </w:r>
      <w:r w:rsidR="00130E87" w:rsidRPr="003D2893">
        <w:rPr>
          <w:rFonts w:ascii="Calibri" w:eastAsia="Calibri" w:hAnsi="Calibri" w:cs="Times New Roman"/>
          <w:b/>
        </w:rPr>
        <w:t>h</w:t>
      </w:r>
      <w:r w:rsidRPr="003D2893">
        <w:rPr>
          <w:rFonts w:ascii="Calibri" w:eastAsia="Calibri" w:hAnsi="Calibri" w:cs="Times New Roman"/>
          <w:b/>
        </w:rPr>
        <w:t>ion to the appropriate educational use of future technologies for teaching and learning</w:t>
      </w:r>
      <w:r w:rsidR="003D2893">
        <w:rPr>
          <w:rFonts w:ascii="Calibri" w:eastAsia="Calibri" w:hAnsi="Calibri" w:cs="Times New Roman"/>
          <w:b/>
        </w:rPr>
        <w:t>;</w:t>
      </w:r>
    </w:p>
    <w:p w:rsidR="00130E87" w:rsidRPr="003D2893" w:rsidRDefault="003D2893" w:rsidP="00951710">
      <w:pPr>
        <w:pStyle w:val="ListParagraph"/>
        <w:numPr>
          <w:ilvl w:val="0"/>
          <w:numId w:val="4"/>
        </w:numPr>
        <w:autoSpaceDE w:val="0"/>
        <w:autoSpaceDN w:val="0"/>
        <w:adjustRightInd w:val="0"/>
        <w:spacing w:after="0" w:line="240" w:lineRule="auto"/>
        <w:rPr>
          <w:rFonts w:cstheme="minorHAnsi"/>
          <w:color w:val="000000"/>
        </w:rPr>
      </w:pPr>
      <w:r>
        <w:rPr>
          <w:rFonts w:ascii="Calibri" w:eastAsia="Calibri" w:hAnsi="Calibri" w:cs="Times New Roman"/>
          <w:b/>
        </w:rPr>
        <w:t xml:space="preserve">Academics are supported to be creative and </w:t>
      </w:r>
      <w:r w:rsidR="00130E87" w:rsidRPr="003D2893">
        <w:rPr>
          <w:rFonts w:ascii="Calibri" w:eastAsia="Calibri" w:hAnsi="Calibri" w:cs="Times New Roman"/>
          <w:b/>
        </w:rPr>
        <w:t>able to focus on the intellectual interchange with students, not the administrative processes that support learning</w:t>
      </w:r>
      <w:r>
        <w:rPr>
          <w:rFonts w:ascii="Calibri" w:eastAsia="Calibri" w:hAnsi="Calibri" w:cs="Times New Roman"/>
          <w:b/>
        </w:rPr>
        <w:t>.</w:t>
      </w:r>
    </w:p>
    <w:p w:rsidR="00DB520C" w:rsidRDefault="00DB520C" w:rsidP="00951710">
      <w:pPr>
        <w:rPr>
          <w:rFonts w:cstheme="minorHAnsi"/>
          <w:highlight w:val="yellow"/>
        </w:rPr>
      </w:pPr>
    </w:p>
    <w:p w:rsidR="00DB520C" w:rsidRPr="00DB520C" w:rsidRDefault="00DB520C" w:rsidP="00DB520C">
      <w:pPr>
        <w:rPr>
          <w:rFonts w:cstheme="minorHAnsi"/>
        </w:rPr>
      </w:pPr>
      <w:r>
        <w:rPr>
          <w:rFonts w:cstheme="minorHAnsi"/>
        </w:rPr>
        <w:t>The Bristol Student</w:t>
      </w:r>
      <w:r w:rsidR="003012F4">
        <w:rPr>
          <w:rFonts w:cstheme="minorHAnsi"/>
        </w:rPr>
        <w:t xml:space="preserve"> </w:t>
      </w:r>
      <w:r w:rsidR="00AD36C8">
        <w:rPr>
          <w:rFonts w:cstheme="minorHAnsi"/>
        </w:rPr>
        <w:t>Experience</w:t>
      </w:r>
      <w:r>
        <w:rPr>
          <w:rFonts w:cstheme="minorHAnsi"/>
        </w:rPr>
        <w:t xml:space="preserve"> w</w:t>
      </w:r>
      <w:r w:rsidR="00564272">
        <w:rPr>
          <w:rFonts w:cstheme="minorHAnsi"/>
        </w:rPr>
        <w:t>e aim for is articulated in the University Education Strategy a</w:t>
      </w:r>
      <w:r>
        <w:rPr>
          <w:rFonts w:cstheme="minorHAnsi"/>
        </w:rPr>
        <w:t>s being defin</w:t>
      </w:r>
      <w:r w:rsidR="003D2893">
        <w:rPr>
          <w:rFonts w:cstheme="minorHAnsi"/>
        </w:rPr>
        <w:t>ed</w:t>
      </w:r>
      <w:r>
        <w:rPr>
          <w:rFonts w:cstheme="minorHAnsi"/>
        </w:rPr>
        <w:t xml:space="preserve">, inter alia, </w:t>
      </w:r>
      <w:r w:rsidR="003D2893">
        <w:rPr>
          <w:rFonts w:cstheme="minorHAnsi"/>
        </w:rPr>
        <w:t xml:space="preserve">by </w:t>
      </w:r>
      <w:r>
        <w:rPr>
          <w:rFonts w:cstheme="minorHAnsi"/>
        </w:rPr>
        <w:t>a stimulating and supportive environment, students working in partnership with</w:t>
      </w:r>
      <w:r w:rsidR="00AD36C8">
        <w:rPr>
          <w:rFonts w:cstheme="minorHAnsi"/>
        </w:rPr>
        <w:t xml:space="preserve"> each other and academics</w:t>
      </w:r>
      <w:r>
        <w:rPr>
          <w:rFonts w:cstheme="minorHAnsi"/>
        </w:rPr>
        <w:t>, independent active learning, innovative programmes and methods.  Technology in itself does not deliver any of these aims</w:t>
      </w:r>
      <w:r w:rsidR="00564272">
        <w:rPr>
          <w:rFonts w:cstheme="minorHAnsi"/>
        </w:rPr>
        <w:t xml:space="preserve">. </w:t>
      </w:r>
      <w:r>
        <w:rPr>
          <w:rFonts w:cstheme="minorHAnsi"/>
        </w:rPr>
        <w:t>Poor quality technology can inhibit the experience,</w:t>
      </w:r>
      <w:r w:rsidR="00564272">
        <w:rPr>
          <w:rFonts w:cstheme="minorHAnsi"/>
        </w:rPr>
        <w:t xml:space="preserve"> </w:t>
      </w:r>
      <w:r w:rsidR="003012F4">
        <w:rPr>
          <w:rFonts w:cstheme="minorHAnsi"/>
        </w:rPr>
        <w:t xml:space="preserve"> </w:t>
      </w:r>
      <w:r w:rsidR="00564272">
        <w:rPr>
          <w:rFonts w:cstheme="minorHAnsi"/>
        </w:rPr>
        <w:t xml:space="preserve">good quality technology </w:t>
      </w:r>
      <w:r>
        <w:rPr>
          <w:rFonts w:cstheme="minorHAnsi"/>
        </w:rPr>
        <w:t xml:space="preserve">can </w:t>
      </w:r>
      <w:r w:rsidR="00564272">
        <w:rPr>
          <w:rFonts w:cstheme="minorHAnsi"/>
        </w:rPr>
        <w:t xml:space="preserve">enrich the Bristol teaching and learning experience for staff and students. </w:t>
      </w:r>
    </w:p>
    <w:p w:rsidR="0071359F" w:rsidRDefault="0071359F" w:rsidP="0071359F">
      <w:pPr>
        <w:spacing w:line="240" w:lineRule="auto"/>
      </w:pPr>
    </w:p>
    <w:p w:rsidR="0071359F" w:rsidRPr="00466B9B" w:rsidRDefault="004764FF" w:rsidP="0071359F">
      <w:pPr>
        <w:spacing w:line="240" w:lineRule="auto"/>
        <w:rPr>
          <w:b/>
          <w:u w:val="single"/>
        </w:rPr>
      </w:pPr>
      <w:r>
        <w:rPr>
          <w:b/>
          <w:u w:val="single"/>
        </w:rPr>
        <w:t xml:space="preserve">THE FIVE </w:t>
      </w:r>
      <w:r w:rsidR="00D4268D">
        <w:rPr>
          <w:b/>
          <w:u w:val="single"/>
        </w:rPr>
        <w:t>GOAL</w:t>
      </w:r>
      <w:r w:rsidR="00AE4DB4">
        <w:rPr>
          <w:b/>
          <w:u w:val="single"/>
        </w:rPr>
        <w:t>S</w:t>
      </w:r>
    </w:p>
    <w:p w:rsidR="00564272" w:rsidRDefault="00C155EF" w:rsidP="00D71B01">
      <w:pPr>
        <w:pStyle w:val="Default"/>
        <w:rPr>
          <w:rFonts w:asciiTheme="minorHAnsi" w:hAnsiTheme="minorHAnsi" w:cstheme="minorHAnsi"/>
          <w:sz w:val="22"/>
          <w:szCs w:val="22"/>
        </w:rPr>
      </w:pPr>
      <w:r w:rsidRPr="00D71B01">
        <w:rPr>
          <w:rFonts w:asciiTheme="minorHAnsi" w:hAnsiTheme="minorHAnsi" w:cstheme="minorHAnsi"/>
          <w:sz w:val="22"/>
          <w:szCs w:val="22"/>
        </w:rPr>
        <w:t xml:space="preserve">The Focus of the TEL Strategy is </w:t>
      </w:r>
      <w:r w:rsidR="00EA03C4" w:rsidRPr="00D71B01">
        <w:rPr>
          <w:rFonts w:asciiTheme="minorHAnsi" w:hAnsiTheme="minorHAnsi" w:cstheme="minorHAnsi"/>
          <w:sz w:val="22"/>
          <w:szCs w:val="22"/>
        </w:rPr>
        <w:t>upon how we can use technology to</w:t>
      </w:r>
      <w:r w:rsidR="00EA03C4" w:rsidRPr="00564272">
        <w:rPr>
          <w:rFonts w:asciiTheme="minorHAnsi" w:hAnsiTheme="minorHAnsi" w:cstheme="minorHAnsi"/>
          <w:sz w:val="22"/>
          <w:szCs w:val="22"/>
          <w:u w:val="single"/>
        </w:rPr>
        <w:t xml:space="preserve"> support</w:t>
      </w:r>
      <w:r w:rsidR="00CC5790">
        <w:rPr>
          <w:rFonts w:asciiTheme="minorHAnsi" w:hAnsiTheme="minorHAnsi" w:cstheme="minorHAnsi"/>
          <w:sz w:val="22"/>
          <w:szCs w:val="22"/>
          <w:u w:val="single"/>
        </w:rPr>
        <w:t>,</w:t>
      </w:r>
      <w:r w:rsidR="00CC5790">
        <w:rPr>
          <w:rFonts w:asciiTheme="minorHAnsi" w:hAnsiTheme="minorHAnsi" w:cstheme="minorHAnsi"/>
          <w:sz w:val="22"/>
          <w:szCs w:val="22"/>
        </w:rPr>
        <w:t xml:space="preserve"> t</w:t>
      </w:r>
      <w:r w:rsidR="00EA03C4" w:rsidRPr="00D71B01">
        <w:rPr>
          <w:rFonts w:asciiTheme="minorHAnsi" w:hAnsiTheme="minorHAnsi" w:cstheme="minorHAnsi"/>
          <w:sz w:val="22"/>
          <w:szCs w:val="22"/>
        </w:rPr>
        <w:t>h</w:t>
      </w:r>
      <w:r w:rsidR="00DD2E9C">
        <w:rPr>
          <w:rFonts w:asciiTheme="minorHAnsi" w:hAnsiTheme="minorHAnsi" w:cstheme="minorHAnsi"/>
          <w:sz w:val="22"/>
          <w:szCs w:val="22"/>
        </w:rPr>
        <w:t>e Bristol E</w:t>
      </w:r>
      <w:r w:rsidR="00261FC7">
        <w:rPr>
          <w:rFonts w:asciiTheme="minorHAnsi" w:hAnsiTheme="minorHAnsi" w:cstheme="minorHAnsi"/>
          <w:sz w:val="22"/>
          <w:szCs w:val="22"/>
        </w:rPr>
        <w:t xml:space="preserve">xperience. </w:t>
      </w:r>
      <w:r w:rsidR="00EA03C4" w:rsidRPr="00D71B01">
        <w:rPr>
          <w:rFonts w:asciiTheme="minorHAnsi" w:hAnsiTheme="minorHAnsi" w:cstheme="minorHAnsi"/>
          <w:sz w:val="22"/>
          <w:szCs w:val="22"/>
        </w:rPr>
        <w:t xml:space="preserve"> </w:t>
      </w:r>
    </w:p>
    <w:p w:rsidR="00564272" w:rsidRDefault="00564272" w:rsidP="00D71B01">
      <w:pPr>
        <w:pStyle w:val="Default"/>
        <w:rPr>
          <w:rFonts w:asciiTheme="minorHAnsi" w:hAnsiTheme="minorHAnsi" w:cstheme="minorHAnsi"/>
          <w:sz w:val="22"/>
          <w:szCs w:val="22"/>
        </w:rPr>
      </w:pPr>
    </w:p>
    <w:p w:rsidR="003D2893" w:rsidRDefault="00D71B01" w:rsidP="00D71B01">
      <w:pPr>
        <w:pStyle w:val="Default"/>
        <w:rPr>
          <w:rFonts w:asciiTheme="minorHAnsi" w:hAnsiTheme="minorHAnsi" w:cstheme="minorHAnsi"/>
          <w:sz w:val="22"/>
          <w:szCs w:val="22"/>
        </w:rPr>
      </w:pPr>
      <w:r w:rsidRPr="00D71B01">
        <w:rPr>
          <w:rFonts w:asciiTheme="minorHAnsi" w:hAnsiTheme="minorHAnsi" w:cstheme="minorHAnsi"/>
          <w:sz w:val="22"/>
          <w:szCs w:val="22"/>
        </w:rPr>
        <w:lastRenderedPageBreak/>
        <w:t xml:space="preserve">We will prioritise those things </w:t>
      </w:r>
      <w:r w:rsidR="00C77B5B" w:rsidRPr="00D71B01">
        <w:rPr>
          <w:rFonts w:asciiTheme="minorHAnsi" w:hAnsiTheme="minorHAnsi" w:cstheme="minorHAnsi"/>
          <w:sz w:val="22"/>
          <w:szCs w:val="22"/>
        </w:rPr>
        <w:t>which will assi</w:t>
      </w:r>
      <w:r w:rsidRPr="00D71B01">
        <w:rPr>
          <w:rFonts w:asciiTheme="minorHAnsi" w:hAnsiTheme="minorHAnsi" w:cstheme="minorHAnsi"/>
          <w:sz w:val="22"/>
          <w:szCs w:val="22"/>
        </w:rPr>
        <w:t>st in delivery of our educational</w:t>
      </w:r>
      <w:r w:rsidR="00C77B5B" w:rsidRPr="00D71B01">
        <w:rPr>
          <w:rFonts w:asciiTheme="minorHAnsi" w:hAnsiTheme="minorHAnsi" w:cstheme="minorHAnsi"/>
          <w:sz w:val="22"/>
          <w:szCs w:val="22"/>
        </w:rPr>
        <w:t xml:space="preserve"> vision, rather than starting from the availability of a particular technology</w:t>
      </w:r>
      <w:r w:rsidRPr="00D71B01">
        <w:rPr>
          <w:rFonts w:asciiTheme="minorHAnsi" w:hAnsiTheme="minorHAnsi" w:cstheme="minorHAnsi"/>
          <w:sz w:val="22"/>
          <w:szCs w:val="22"/>
        </w:rPr>
        <w:t xml:space="preserve">. </w:t>
      </w:r>
      <w:r w:rsidR="00130E87">
        <w:rPr>
          <w:rFonts w:asciiTheme="minorHAnsi" w:hAnsiTheme="minorHAnsi" w:cstheme="minorHAnsi"/>
          <w:sz w:val="22"/>
          <w:szCs w:val="22"/>
        </w:rPr>
        <w:t xml:space="preserve"> </w:t>
      </w:r>
    </w:p>
    <w:p w:rsidR="003D2893" w:rsidRDefault="003D2893" w:rsidP="00D71B01">
      <w:pPr>
        <w:pStyle w:val="Default"/>
        <w:rPr>
          <w:rFonts w:asciiTheme="minorHAnsi" w:hAnsiTheme="minorHAnsi" w:cstheme="minorHAnsi"/>
          <w:sz w:val="22"/>
          <w:szCs w:val="22"/>
        </w:rPr>
      </w:pPr>
    </w:p>
    <w:p w:rsidR="00C77B5B" w:rsidRPr="00D71B01" w:rsidRDefault="003D2893" w:rsidP="00D71B01">
      <w:pPr>
        <w:pStyle w:val="Default"/>
        <w:rPr>
          <w:rFonts w:asciiTheme="minorHAnsi" w:hAnsiTheme="minorHAnsi" w:cstheme="minorHAnsi"/>
          <w:sz w:val="22"/>
          <w:szCs w:val="22"/>
        </w:rPr>
      </w:pPr>
      <w:r w:rsidRPr="00D71B01">
        <w:rPr>
          <w:rFonts w:asciiTheme="minorHAnsi" w:hAnsiTheme="minorHAnsi" w:cstheme="minorHAnsi"/>
          <w:sz w:val="22"/>
          <w:szCs w:val="22"/>
        </w:rPr>
        <w:t xml:space="preserve">We see students as part of a community of scholars, not as consumers of a service. </w:t>
      </w:r>
      <w:r w:rsidR="00130E87">
        <w:rPr>
          <w:rFonts w:asciiTheme="minorHAnsi" w:hAnsiTheme="minorHAnsi" w:cstheme="minorHAnsi"/>
          <w:sz w:val="22"/>
          <w:szCs w:val="22"/>
        </w:rPr>
        <w:t>The face to face intellectual encounter will remain th</w:t>
      </w:r>
      <w:r w:rsidR="00CC5790">
        <w:rPr>
          <w:rFonts w:asciiTheme="minorHAnsi" w:hAnsiTheme="minorHAnsi" w:cstheme="minorHAnsi"/>
          <w:sz w:val="22"/>
          <w:szCs w:val="22"/>
        </w:rPr>
        <w:t>e focal point of the</w:t>
      </w:r>
      <w:r w:rsidR="00130E87">
        <w:rPr>
          <w:rFonts w:asciiTheme="minorHAnsi" w:hAnsiTheme="minorHAnsi" w:cstheme="minorHAnsi"/>
          <w:sz w:val="22"/>
          <w:szCs w:val="22"/>
        </w:rPr>
        <w:t xml:space="preserve"> Bristol Experience.</w:t>
      </w:r>
    </w:p>
    <w:p w:rsidR="00D71B01" w:rsidRDefault="00D71B01" w:rsidP="00D71B01">
      <w:pPr>
        <w:pStyle w:val="Default"/>
        <w:rPr>
          <w:rFonts w:ascii="Arial" w:hAnsi="Arial" w:cs="Arial"/>
          <w:sz w:val="20"/>
          <w:szCs w:val="20"/>
        </w:rPr>
      </w:pPr>
    </w:p>
    <w:p w:rsidR="00C155EF" w:rsidRDefault="0080617A" w:rsidP="00C155EF">
      <w:pPr>
        <w:spacing w:line="240" w:lineRule="auto"/>
      </w:pPr>
      <w:r>
        <w:t xml:space="preserve">We will use technology to </w:t>
      </w:r>
      <w:r w:rsidR="00261FC7">
        <w:t xml:space="preserve">enhance the </w:t>
      </w:r>
      <w:r w:rsidR="00C155EF">
        <w:t xml:space="preserve"> </w:t>
      </w:r>
      <w:r>
        <w:t>Bristol E</w:t>
      </w:r>
      <w:r w:rsidR="00C155EF">
        <w:t xml:space="preserve">xperience within that community </w:t>
      </w:r>
      <w:r w:rsidR="00261FC7">
        <w:t>for students and academics</w:t>
      </w:r>
      <w:r w:rsidR="00564272">
        <w:t xml:space="preserve"> </w:t>
      </w:r>
      <w:r w:rsidR="00261FC7">
        <w:t xml:space="preserve">by </w:t>
      </w:r>
      <w:r w:rsidR="00C155EF">
        <w:t>:</w:t>
      </w:r>
    </w:p>
    <w:p w:rsidR="00A8786B" w:rsidRPr="00A8786B" w:rsidRDefault="00261FC7" w:rsidP="00564272">
      <w:pPr>
        <w:pStyle w:val="Bulletparas"/>
        <w:numPr>
          <w:ilvl w:val="0"/>
          <w:numId w:val="8"/>
        </w:numPr>
        <w:rPr>
          <w:b/>
          <w:szCs w:val="20"/>
        </w:rPr>
      </w:pPr>
      <w:r>
        <w:rPr>
          <w:b/>
          <w:szCs w:val="20"/>
        </w:rPr>
        <w:t>Enhancing c</w:t>
      </w:r>
      <w:r w:rsidR="00A8786B" w:rsidRPr="00A8786B">
        <w:rPr>
          <w:b/>
          <w:szCs w:val="20"/>
        </w:rPr>
        <w:t xml:space="preserve">onvenience </w:t>
      </w:r>
      <w:r>
        <w:rPr>
          <w:b/>
          <w:szCs w:val="20"/>
        </w:rPr>
        <w:t>for students and staff</w:t>
      </w:r>
    </w:p>
    <w:p w:rsidR="00A8786B" w:rsidRPr="00A8786B" w:rsidRDefault="00261FC7" w:rsidP="00564272">
      <w:pPr>
        <w:pStyle w:val="Bulletparas"/>
        <w:numPr>
          <w:ilvl w:val="0"/>
          <w:numId w:val="8"/>
        </w:numPr>
        <w:rPr>
          <w:b/>
          <w:szCs w:val="20"/>
        </w:rPr>
      </w:pPr>
      <w:r>
        <w:rPr>
          <w:b/>
          <w:szCs w:val="20"/>
        </w:rPr>
        <w:t xml:space="preserve">Empowering students </w:t>
      </w:r>
      <w:r w:rsidR="00130E87">
        <w:rPr>
          <w:b/>
          <w:szCs w:val="20"/>
        </w:rPr>
        <w:t xml:space="preserve">and staff </w:t>
      </w:r>
      <w:r>
        <w:rPr>
          <w:b/>
          <w:szCs w:val="20"/>
        </w:rPr>
        <w:t xml:space="preserve">with enhanced </w:t>
      </w:r>
      <w:r w:rsidR="00A8786B" w:rsidRPr="00A8786B">
        <w:rPr>
          <w:b/>
          <w:szCs w:val="20"/>
        </w:rPr>
        <w:t xml:space="preserve">learning </w:t>
      </w:r>
      <w:r>
        <w:rPr>
          <w:b/>
          <w:szCs w:val="20"/>
        </w:rPr>
        <w:t xml:space="preserve">environments and activities </w:t>
      </w:r>
    </w:p>
    <w:p w:rsidR="00261FC7" w:rsidRDefault="00564272" w:rsidP="00564272">
      <w:pPr>
        <w:pStyle w:val="Bulletparas"/>
        <w:numPr>
          <w:ilvl w:val="0"/>
          <w:numId w:val="8"/>
        </w:numPr>
        <w:rPr>
          <w:b/>
          <w:szCs w:val="20"/>
        </w:rPr>
      </w:pPr>
      <w:r>
        <w:rPr>
          <w:b/>
          <w:szCs w:val="20"/>
        </w:rPr>
        <w:t>Engagement - s</w:t>
      </w:r>
      <w:r w:rsidR="00A8786B" w:rsidRPr="00A8786B">
        <w:rPr>
          <w:b/>
          <w:szCs w:val="20"/>
        </w:rPr>
        <w:t xml:space="preserve">upporting the lifelong </w:t>
      </w:r>
      <w:r>
        <w:rPr>
          <w:b/>
          <w:szCs w:val="20"/>
        </w:rPr>
        <w:t>intellectual relationship</w:t>
      </w:r>
    </w:p>
    <w:p w:rsidR="00261FC7" w:rsidRDefault="00261FC7" w:rsidP="00564272">
      <w:pPr>
        <w:pStyle w:val="Bulletparas"/>
        <w:numPr>
          <w:ilvl w:val="0"/>
          <w:numId w:val="8"/>
        </w:numPr>
        <w:rPr>
          <w:b/>
          <w:szCs w:val="20"/>
        </w:rPr>
      </w:pPr>
      <w:r>
        <w:rPr>
          <w:b/>
          <w:szCs w:val="20"/>
        </w:rPr>
        <w:t>E</w:t>
      </w:r>
      <w:r w:rsidR="00564272">
        <w:rPr>
          <w:b/>
        </w:rPr>
        <w:t>nhancing</w:t>
      </w:r>
      <w:r w:rsidR="004764FF" w:rsidRPr="00261FC7">
        <w:rPr>
          <w:b/>
        </w:rPr>
        <w:t xml:space="preserve"> the reputation of the University as a centre of excellence</w:t>
      </w:r>
    </w:p>
    <w:p w:rsidR="004764FF" w:rsidRPr="00261FC7" w:rsidRDefault="00261FC7" w:rsidP="00564272">
      <w:pPr>
        <w:pStyle w:val="Bulletparas"/>
        <w:numPr>
          <w:ilvl w:val="0"/>
          <w:numId w:val="8"/>
        </w:numPr>
        <w:rPr>
          <w:b/>
          <w:szCs w:val="20"/>
        </w:rPr>
      </w:pPr>
      <w:r>
        <w:rPr>
          <w:b/>
          <w:szCs w:val="20"/>
        </w:rPr>
        <w:t xml:space="preserve">Delivering </w:t>
      </w:r>
      <w:r w:rsidR="004764FF" w:rsidRPr="00261FC7">
        <w:rPr>
          <w:b/>
          <w:szCs w:val="20"/>
        </w:rPr>
        <w:t xml:space="preserve">high quality, </w:t>
      </w:r>
      <w:r w:rsidR="00564272">
        <w:rPr>
          <w:b/>
          <w:szCs w:val="20"/>
        </w:rPr>
        <w:t xml:space="preserve">reliable, </w:t>
      </w:r>
      <w:r w:rsidR="004764FF" w:rsidRPr="00261FC7">
        <w:rPr>
          <w:b/>
          <w:szCs w:val="20"/>
        </w:rPr>
        <w:t xml:space="preserve">efficient, </w:t>
      </w:r>
      <w:r w:rsidR="00564272">
        <w:rPr>
          <w:b/>
          <w:szCs w:val="20"/>
        </w:rPr>
        <w:t xml:space="preserve">integrated, </w:t>
      </w:r>
      <w:r w:rsidR="004764FF" w:rsidRPr="00261FC7">
        <w:rPr>
          <w:b/>
          <w:szCs w:val="20"/>
        </w:rPr>
        <w:t xml:space="preserve">intuitive, user experience focussed </w:t>
      </w:r>
      <w:r>
        <w:rPr>
          <w:b/>
          <w:szCs w:val="20"/>
        </w:rPr>
        <w:t>solutions and support</w:t>
      </w:r>
    </w:p>
    <w:p w:rsidR="00A8786B" w:rsidRDefault="00A8786B" w:rsidP="00C155EF">
      <w:pPr>
        <w:spacing w:line="240" w:lineRule="auto"/>
      </w:pPr>
    </w:p>
    <w:p w:rsidR="00C155EF" w:rsidRPr="008013BF" w:rsidRDefault="00C155EF" w:rsidP="00985853">
      <w:pPr>
        <w:pStyle w:val="ListParagraph"/>
        <w:numPr>
          <w:ilvl w:val="0"/>
          <w:numId w:val="11"/>
        </w:numPr>
        <w:spacing w:line="240" w:lineRule="auto"/>
        <w:rPr>
          <w:b/>
        </w:rPr>
      </w:pPr>
      <w:r w:rsidRPr="008013BF">
        <w:rPr>
          <w:b/>
        </w:rPr>
        <w:t>Convenience</w:t>
      </w:r>
    </w:p>
    <w:p w:rsidR="00491865" w:rsidRDefault="00C155EF" w:rsidP="00261FC7">
      <w:pPr>
        <w:pStyle w:val="ListParagraph"/>
        <w:numPr>
          <w:ilvl w:val="1"/>
          <w:numId w:val="4"/>
        </w:numPr>
        <w:spacing w:line="240" w:lineRule="auto"/>
      </w:pPr>
      <w:r>
        <w:t>Enabling students</w:t>
      </w:r>
      <w:r w:rsidR="00130E87">
        <w:t xml:space="preserve"> and staff </w:t>
      </w:r>
      <w:r>
        <w:t xml:space="preserve"> to get access wherever and whenever they wish </w:t>
      </w:r>
      <w:r w:rsidR="00491865">
        <w:t>on the dev</w:t>
      </w:r>
      <w:r w:rsidR="0020798C">
        <w:t xml:space="preserve">ices and platforms of their choice </w:t>
      </w:r>
      <w:r>
        <w:t>to academic and organisational sources – the Mobile University</w:t>
      </w:r>
      <w:r w:rsidR="00985853">
        <w:t>.</w:t>
      </w:r>
    </w:p>
    <w:p w:rsidR="00AD36C8" w:rsidRDefault="00AD36C8" w:rsidP="00261FC7">
      <w:pPr>
        <w:pStyle w:val="ListParagraph"/>
        <w:numPr>
          <w:ilvl w:val="1"/>
          <w:numId w:val="4"/>
        </w:numPr>
        <w:spacing w:line="240" w:lineRule="auto"/>
      </w:pPr>
      <w:r>
        <w:t>Enabling students and academics to gain effective  benefit from technology that is [already] available.</w:t>
      </w:r>
    </w:p>
    <w:p w:rsidR="0020798C" w:rsidRDefault="0020798C" w:rsidP="00C155EF">
      <w:pPr>
        <w:pStyle w:val="ListParagraph"/>
        <w:spacing w:line="240" w:lineRule="auto"/>
        <w:ind w:left="1440"/>
      </w:pPr>
    </w:p>
    <w:p w:rsidR="00C155EF" w:rsidRPr="008013BF" w:rsidRDefault="00C155EF" w:rsidP="00985853">
      <w:pPr>
        <w:pStyle w:val="ListParagraph"/>
        <w:numPr>
          <w:ilvl w:val="0"/>
          <w:numId w:val="11"/>
        </w:numPr>
        <w:spacing w:line="240" w:lineRule="auto"/>
        <w:rPr>
          <w:b/>
        </w:rPr>
      </w:pPr>
      <w:r w:rsidRPr="008013BF">
        <w:rPr>
          <w:b/>
        </w:rPr>
        <w:t>E</w:t>
      </w:r>
      <w:r w:rsidR="00A8786B">
        <w:rPr>
          <w:b/>
        </w:rPr>
        <w:t>mpower</w:t>
      </w:r>
      <w:r w:rsidR="00564272">
        <w:rPr>
          <w:b/>
        </w:rPr>
        <w:t xml:space="preserve">ing </w:t>
      </w:r>
      <w:r w:rsidRPr="008013BF">
        <w:rPr>
          <w:b/>
        </w:rPr>
        <w:t xml:space="preserve"> </w:t>
      </w:r>
      <w:r w:rsidR="00130E87">
        <w:rPr>
          <w:b/>
        </w:rPr>
        <w:t xml:space="preserve">- supporting face to face  learning </w:t>
      </w:r>
    </w:p>
    <w:p w:rsidR="00130E87" w:rsidRDefault="00130E87" w:rsidP="00985853">
      <w:pPr>
        <w:pStyle w:val="ListParagraph"/>
        <w:numPr>
          <w:ilvl w:val="1"/>
          <w:numId w:val="11"/>
        </w:numPr>
        <w:spacing w:line="240" w:lineRule="auto"/>
        <w:rPr>
          <w:rFonts w:ascii="Calibri" w:eastAsia="Calibri" w:hAnsi="Calibri" w:cs="Times New Roman"/>
        </w:rPr>
      </w:pPr>
      <w:r>
        <w:rPr>
          <w:rFonts w:ascii="Calibri" w:eastAsia="Calibri" w:hAnsi="Calibri" w:cs="Times New Roman"/>
        </w:rPr>
        <w:t>Supporting face to face learning , before, during and after the class enabling the class to focus upon rich research facing experience</w:t>
      </w:r>
    </w:p>
    <w:p w:rsidR="00C155EF" w:rsidRDefault="00C155EF" w:rsidP="00985853">
      <w:pPr>
        <w:pStyle w:val="ListParagraph"/>
        <w:numPr>
          <w:ilvl w:val="1"/>
          <w:numId w:val="11"/>
        </w:numPr>
        <w:spacing w:line="240" w:lineRule="auto"/>
      </w:pPr>
      <w:r>
        <w:t>Providing Personalised learning and learning environments</w:t>
      </w:r>
    </w:p>
    <w:p w:rsidR="00C155EF" w:rsidRDefault="00130E87" w:rsidP="00985853">
      <w:pPr>
        <w:pStyle w:val="ListParagraph"/>
        <w:numPr>
          <w:ilvl w:val="1"/>
          <w:numId w:val="11"/>
        </w:numPr>
        <w:spacing w:line="240" w:lineRule="auto"/>
      </w:pPr>
      <w:r>
        <w:t>Supporting</w:t>
      </w:r>
      <w:r w:rsidR="00564272">
        <w:t xml:space="preserve"> activ</w:t>
      </w:r>
      <w:r w:rsidR="00C155EF">
        <w:t>e</w:t>
      </w:r>
      <w:r w:rsidR="00564272">
        <w:t>, collaborative</w:t>
      </w:r>
      <w:r w:rsidR="00C155EF">
        <w:t xml:space="preserve"> and participatory learning</w:t>
      </w:r>
    </w:p>
    <w:p w:rsidR="00C155EF" w:rsidRDefault="00C155EF" w:rsidP="00985853">
      <w:pPr>
        <w:pStyle w:val="ListParagraph"/>
        <w:numPr>
          <w:ilvl w:val="1"/>
          <w:numId w:val="11"/>
        </w:numPr>
        <w:spacing w:line="240" w:lineRule="auto"/>
      </w:pPr>
      <w:r>
        <w:t xml:space="preserve">Developing digital literacy and employability  </w:t>
      </w:r>
    </w:p>
    <w:p w:rsidR="00C155EF" w:rsidRDefault="00C155EF" w:rsidP="00985853">
      <w:pPr>
        <w:pStyle w:val="ListParagraph"/>
        <w:numPr>
          <w:ilvl w:val="1"/>
          <w:numId w:val="11"/>
        </w:numPr>
        <w:spacing w:line="240" w:lineRule="auto"/>
      </w:pPr>
      <w:r>
        <w:t>Supporting initiatives to develop  learning design and practice</w:t>
      </w:r>
    </w:p>
    <w:p w:rsidR="00C155EF" w:rsidRDefault="00C155EF" w:rsidP="00985853">
      <w:pPr>
        <w:pStyle w:val="ListParagraph"/>
        <w:numPr>
          <w:ilvl w:val="1"/>
          <w:numId w:val="11"/>
        </w:numPr>
        <w:spacing w:line="240" w:lineRule="auto"/>
      </w:pPr>
      <w:r>
        <w:t>Enabling students to be practitioners of their research discipline</w:t>
      </w:r>
    </w:p>
    <w:p w:rsidR="00130E87" w:rsidRDefault="00130E87" w:rsidP="00985853">
      <w:pPr>
        <w:pStyle w:val="ListParagraph"/>
        <w:numPr>
          <w:ilvl w:val="1"/>
          <w:numId w:val="11"/>
        </w:numPr>
        <w:spacing w:line="240" w:lineRule="auto"/>
      </w:pPr>
      <w:r>
        <w:t>Supporting the academic creative process of developing teaching and learning</w:t>
      </w:r>
    </w:p>
    <w:p w:rsidR="00C155EF" w:rsidRDefault="00C155EF" w:rsidP="00C155EF">
      <w:pPr>
        <w:pStyle w:val="ListParagraph"/>
        <w:spacing w:line="240" w:lineRule="auto"/>
      </w:pPr>
    </w:p>
    <w:p w:rsidR="00C155EF" w:rsidRDefault="00C155EF" w:rsidP="00985853">
      <w:pPr>
        <w:pStyle w:val="ListParagraph"/>
        <w:numPr>
          <w:ilvl w:val="0"/>
          <w:numId w:val="11"/>
        </w:numPr>
        <w:spacing w:line="240" w:lineRule="auto"/>
      </w:pPr>
      <w:r w:rsidRPr="008013BF">
        <w:rPr>
          <w:b/>
        </w:rPr>
        <w:t xml:space="preserve">Engagement - supporting the  lifelong </w:t>
      </w:r>
      <w:r w:rsidR="00564272">
        <w:rPr>
          <w:b/>
        </w:rPr>
        <w:t>intellectual relationship</w:t>
      </w:r>
    </w:p>
    <w:p w:rsidR="00C155EF" w:rsidRDefault="00C155EF" w:rsidP="00985853">
      <w:pPr>
        <w:pStyle w:val="ListParagraph"/>
        <w:numPr>
          <w:ilvl w:val="1"/>
          <w:numId w:val="11"/>
        </w:numPr>
        <w:spacing w:line="240" w:lineRule="auto"/>
      </w:pPr>
      <w:r>
        <w:t xml:space="preserve">between the University and our students  </w:t>
      </w:r>
    </w:p>
    <w:p w:rsidR="00C155EF" w:rsidRDefault="00C155EF" w:rsidP="00985853">
      <w:pPr>
        <w:pStyle w:val="ListParagraph"/>
        <w:numPr>
          <w:ilvl w:val="1"/>
          <w:numId w:val="11"/>
        </w:numPr>
        <w:spacing w:line="240" w:lineRule="auto"/>
      </w:pPr>
      <w:r>
        <w:t xml:space="preserve"> with the wider intellectual community</w:t>
      </w:r>
    </w:p>
    <w:p w:rsidR="0059750D" w:rsidRPr="0059750D" w:rsidRDefault="0059750D" w:rsidP="0059750D">
      <w:pPr>
        <w:pStyle w:val="Bulletparas"/>
        <w:rPr>
          <w:szCs w:val="20"/>
        </w:rPr>
      </w:pPr>
    </w:p>
    <w:p w:rsidR="00C155EF" w:rsidRPr="00564272" w:rsidRDefault="00564272" w:rsidP="00985853">
      <w:pPr>
        <w:pStyle w:val="ListParagraph"/>
        <w:numPr>
          <w:ilvl w:val="0"/>
          <w:numId w:val="11"/>
        </w:numPr>
        <w:spacing w:line="240" w:lineRule="auto"/>
        <w:rPr>
          <w:b/>
        </w:rPr>
      </w:pPr>
      <w:r>
        <w:rPr>
          <w:b/>
        </w:rPr>
        <w:t>Enhancing</w:t>
      </w:r>
      <w:r w:rsidR="00C155EF" w:rsidRPr="00564272">
        <w:rPr>
          <w:b/>
        </w:rPr>
        <w:t xml:space="preserve"> the reputation of the University</w:t>
      </w:r>
    </w:p>
    <w:p w:rsidR="00A011E0" w:rsidRDefault="00C155EF" w:rsidP="00564272">
      <w:pPr>
        <w:pStyle w:val="ListParagraph"/>
        <w:numPr>
          <w:ilvl w:val="0"/>
          <w:numId w:val="10"/>
        </w:numPr>
        <w:spacing w:line="240" w:lineRule="auto"/>
      </w:pPr>
      <w:r>
        <w:t>A TEL centre of excellence as an institution</w:t>
      </w:r>
      <w:r w:rsidR="00A011E0">
        <w:t xml:space="preserve"> as well as in pockets  ranking as a world leader</w:t>
      </w:r>
    </w:p>
    <w:p w:rsidR="00A47CDC" w:rsidRDefault="00A47CDC" w:rsidP="00564272">
      <w:pPr>
        <w:pStyle w:val="ListParagraph"/>
        <w:numPr>
          <w:ilvl w:val="0"/>
          <w:numId w:val="10"/>
        </w:numPr>
        <w:spacing w:line="240" w:lineRule="auto"/>
      </w:pPr>
      <w:r>
        <w:t>Celebrating the quality of current innovation</w:t>
      </w:r>
    </w:p>
    <w:p w:rsidR="00C155EF" w:rsidRDefault="00A011E0" w:rsidP="00564272">
      <w:pPr>
        <w:pStyle w:val="ListParagraph"/>
        <w:numPr>
          <w:ilvl w:val="0"/>
          <w:numId w:val="10"/>
        </w:numPr>
        <w:spacing w:line="240" w:lineRule="auto"/>
      </w:pPr>
      <w:r>
        <w:t xml:space="preserve">The adoption by other universities of our innovative methods and materials </w:t>
      </w:r>
    </w:p>
    <w:p w:rsidR="00261FC7" w:rsidRDefault="00C155EF" w:rsidP="00261FC7">
      <w:pPr>
        <w:pStyle w:val="ListParagraph"/>
        <w:numPr>
          <w:ilvl w:val="0"/>
          <w:numId w:val="10"/>
        </w:numPr>
        <w:spacing w:line="240" w:lineRule="auto"/>
      </w:pPr>
      <w:r>
        <w:t>Students will cite the quality of our TEL as a reason for studying here</w:t>
      </w:r>
    </w:p>
    <w:p w:rsidR="00371873" w:rsidRPr="00371873" w:rsidRDefault="00371873" w:rsidP="00371873">
      <w:pPr>
        <w:pStyle w:val="ListParagraph"/>
        <w:spacing w:line="240" w:lineRule="auto"/>
        <w:ind w:left="1440"/>
      </w:pPr>
    </w:p>
    <w:p w:rsidR="003D2893" w:rsidRDefault="003D2893" w:rsidP="003D2893">
      <w:pPr>
        <w:pStyle w:val="Bulletparas"/>
        <w:numPr>
          <w:ilvl w:val="0"/>
          <w:numId w:val="11"/>
        </w:numPr>
        <w:rPr>
          <w:b/>
          <w:szCs w:val="20"/>
        </w:rPr>
      </w:pPr>
      <w:r>
        <w:rPr>
          <w:b/>
          <w:szCs w:val="20"/>
        </w:rPr>
        <w:t xml:space="preserve">Delivering </w:t>
      </w:r>
      <w:r w:rsidRPr="00261FC7">
        <w:rPr>
          <w:b/>
          <w:szCs w:val="20"/>
        </w:rPr>
        <w:t xml:space="preserve">high quality, </w:t>
      </w:r>
      <w:r>
        <w:rPr>
          <w:b/>
          <w:szCs w:val="20"/>
        </w:rPr>
        <w:t xml:space="preserve">reliable, </w:t>
      </w:r>
      <w:r w:rsidRPr="00261FC7">
        <w:rPr>
          <w:b/>
          <w:szCs w:val="20"/>
        </w:rPr>
        <w:t xml:space="preserve">efficient, </w:t>
      </w:r>
      <w:r>
        <w:rPr>
          <w:b/>
          <w:szCs w:val="20"/>
        </w:rPr>
        <w:t xml:space="preserve">integrated, </w:t>
      </w:r>
      <w:r w:rsidRPr="00261FC7">
        <w:rPr>
          <w:b/>
          <w:szCs w:val="20"/>
        </w:rPr>
        <w:t xml:space="preserve">intuitive, user experience focussed </w:t>
      </w:r>
      <w:r>
        <w:rPr>
          <w:b/>
          <w:szCs w:val="20"/>
        </w:rPr>
        <w:t>solutions and support</w:t>
      </w:r>
    </w:p>
    <w:p w:rsidR="00425BB4" w:rsidRPr="00425BB4" w:rsidRDefault="00425BB4" w:rsidP="00425BB4">
      <w:pPr>
        <w:pStyle w:val="Bulletparas"/>
        <w:numPr>
          <w:ilvl w:val="1"/>
          <w:numId w:val="11"/>
        </w:numPr>
        <w:ind w:left="1418"/>
        <w:rPr>
          <w:rFonts w:asciiTheme="minorHAnsi" w:hAnsiTheme="minorHAnsi"/>
          <w:b/>
          <w:sz w:val="22"/>
          <w:szCs w:val="22"/>
        </w:rPr>
      </w:pPr>
      <w:r w:rsidRPr="00425BB4">
        <w:rPr>
          <w:rFonts w:asciiTheme="minorHAnsi" w:hAnsiTheme="minorHAnsi" w:cs="Times New Roman"/>
          <w:color w:val="000000"/>
          <w:sz w:val="22"/>
          <w:szCs w:val="22"/>
        </w:rPr>
        <w:t>Maturing the technical infrastructure  to ensure reliability and resilience</w:t>
      </w:r>
    </w:p>
    <w:p w:rsidR="0059750D" w:rsidRPr="00425BB4" w:rsidRDefault="00130E87" w:rsidP="00425BB4">
      <w:pPr>
        <w:pStyle w:val="ListParagraph"/>
        <w:spacing w:line="240" w:lineRule="auto"/>
        <w:ind w:left="1080"/>
        <w:rPr>
          <w:rFonts w:ascii="Calibri" w:eastAsia="Calibri" w:hAnsi="Calibri" w:cs="Times New Roman"/>
          <w:b/>
        </w:rPr>
      </w:pPr>
      <w:r w:rsidRPr="00985853">
        <w:rPr>
          <w:rFonts w:ascii="Calibri" w:eastAsia="Calibri" w:hAnsi="Calibri" w:cs="Times New Roman"/>
          <w:b/>
        </w:rPr>
        <w:t xml:space="preserve">  </w:t>
      </w:r>
      <w:r w:rsidR="00261FC7" w:rsidRPr="00985853">
        <w:rPr>
          <w:rFonts w:ascii="Calibri" w:eastAsia="Calibri" w:hAnsi="Calibri" w:cs="Times New Roman"/>
          <w:b/>
        </w:rPr>
        <w:t xml:space="preserve"> </w:t>
      </w:r>
    </w:p>
    <w:p w:rsidR="0059750D" w:rsidRDefault="0059750D" w:rsidP="0059750D">
      <w:pPr>
        <w:pStyle w:val="Bulletparas"/>
        <w:rPr>
          <w:szCs w:val="20"/>
        </w:rPr>
      </w:pPr>
    </w:p>
    <w:p w:rsidR="00425BB4" w:rsidRDefault="00425BB4">
      <w:pPr>
        <w:rPr>
          <w:rFonts w:ascii="Arial" w:eastAsia="Times New Roman" w:hAnsi="Arial" w:cs="Arial"/>
          <w:b/>
          <w:iCs/>
          <w:sz w:val="20"/>
          <w:szCs w:val="20"/>
          <w:u w:val="single"/>
          <w:lang w:eastAsia="ar-SA"/>
        </w:rPr>
      </w:pPr>
      <w:r>
        <w:rPr>
          <w:b/>
          <w:szCs w:val="20"/>
          <w:u w:val="single"/>
        </w:rPr>
        <w:br w:type="page"/>
      </w:r>
    </w:p>
    <w:p w:rsidR="00466B9B" w:rsidRPr="00466B9B" w:rsidRDefault="00CC5790" w:rsidP="0059750D">
      <w:pPr>
        <w:pStyle w:val="Bulletparas"/>
        <w:rPr>
          <w:b/>
          <w:szCs w:val="20"/>
          <w:u w:val="single"/>
        </w:rPr>
      </w:pPr>
      <w:r>
        <w:rPr>
          <w:b/>
          <w:szCs w:val="20"/>
          <w:u w:val="single"/>
        </w:rPr>
        <w:lastRenderedPageBreak/>
        <w:t>OUR PRIORITY</w:t>
      </w:r>
      <w:r w:rsidR="00466B9B" w:rsidRPr="00466B9B">
        <w:rPr>
          <w:b/>
          <w:szCs w:val="20"/>
          <w:u w:val="single"/>
        </w:rPr>
        <w:t>:</w:t>
      </w:r>
      <w:r>
        <w:rPr>
          <w:b/>
          <w:szCs w:val="20"/>
          <w:u w:val="single"/>
        </w:rPr>
        <w:t xml:space="preserve"> GETTING THE BASICS RIGHT</w:t>
      </w:r>
    </w:p>
    <w:p w:rsidR="00466B9B" w:rsidRPr="0059750D" w:rsidRDefault="00466B9B" w:rsidP="0059750D">
      <w:pPr>
        <w:pStyle w:val="Bulletparas"/>
        <w:rPr>
          <w:szCs w:val="20"/>
        </w:rPr>
      </w:pPr>
    </w:p>
    <w:p w:rsidR="00466B9B" w:rsidRPr="00425BB4" w:rsidRDefault="00466B9B" w:rsidP="00425BB4">
      <w:pPr>
        <w:pStyle w:val="ListParagraph"/>
        <w:spacing w:line="240" w:lineRule="auto"/>
        <w:ind w:left="425"/>
        <w:rPr>
          <w:rFonts w:cstheme="minorHAnsi"/>
          <w:i/>
          <w:sz w:val="20"/>
          <w:szCs w:val="20"/>
        </w:rPr>
      </w:pPr>
      <w:r w:rsidRPr="004428F0">
        <w:rPr>
          <w:rFonts w:ascii="Arial" w:hAnsi="Arial" w:cs="Arial"/>
          <w:i/>
          <w:iCs/>
          <w:color w:val="000000"/>
          <w:sz w:val="20"/>
          <w:szCs w:val="20"/>
        </w:rPr>
        <w:t>Bristol must consolidate and strengthen its engagement with TEL to strengthen the consistent quality of student experience and enable Bristol to be</w:t>
      </w:r>
      <w:r w:rsidRPr="004428F0">
        <w:rPr>
          <w:rFonts w:cstheme="minorHAnsi"/>
          <w:i/>
          <w:iCs/>
          <w:color w:val="000000"/>
          <w:sz w:val="20"/>
          <w:szCs w:val="20"/>
        </w:rPr>
        <w:t>come a</w:t>
      </w:r>
      <w:r w:rsidRPr="004428F0">
        <w:rPr>
          <w:rFonts w:cstheme="minorHAnsi"/>
          <w:i/>
          <w:sz w:val="20"/>
          <w:szCs w:val="20"/>
        </w:rPr>
        <w:t xml:space="preserve"> TEL centre of excellence as an institution as well as in pockets -   ranking as a world leader</w:t>
      </w:r>
      <w:r w:rsidR="004428F0" w:rsidRPr="004428F0">
        <w:rPr>
          <w:rFonts w:cstheme="minorHAnsi"/>
          <w:i/>
          <w:sz w:val="20"/>
          <w:szCs w:val="20"/>
        </w:rPr>
        <w:t>.</w:t>
      </w:r>
      <w:r w:rsidRPr="004762FB">
        <w:rPr>
          <w:rFonts w:ascii="Arial" w:hAnsi="Arial" w:cs="Arial"/>
          <w:i/>
          <w:iCs/>
          <w:color w:val="000000"/>
          <w:sz w:val="20"/>
          <w:szCs w:val="20"/>
        </w:rPr>
        <w:t xml:space="preserve"> </w:t>
      </w:r>
    </w:p>
    <w:p w:rsidR="00466B9B" w:rsidRPr="004762FB" w:rsidRDefault="00466B9B" w:rsidP="00466B9B">
      <w:pPr>
        <w:pStyle w:val="Body1"/>
        <w:rPr>
          <w:rFonts w:ascii="Arial" w:eastAsiaTheme="minorHAnsi" w:hAnsi="Arial" w:cs="Arial"/>
          <w:sz w:val="20"/>
          <w:lang w:val="en-GB" w:eastAsia="en-US"/>
        </w:rPr>
      </w:pPr>
      <w:r w:rsidRPr="004762FB">
        <w:rPr>
          <w:rFonts w:ascii="Arial" w:eastAsiaTheme="minorHAnsi" w:hAnsi="Arial" w:cs="Arial"/>
          <w:sz w:val="20"/>
          <w:lang w:val="en-GB" w:eastAsia="en-US"/>
        </w:rPr>
        <w:t>This i</w:t>
      </w:r>
      <w:r>
        <w:rPr>
          <w:rFonts w:ascii="Arial" w:eastAsiaTheme="minorHAnsi" w:hAnsi="Arial" w:cs="Arial"/>
          <w:sz w:val="20"/>
          <w:lang w:val="en-GB" w:eastAsia="en-US"/>
        </w:rPr>
        <w:t xml:space="preserve">s the principal message from a </w:t>
      </w:r>
      <w:r w:rsidRPr="004762FB">
        <w:rPr>
          <w:rFonts w:ascii="Arial" w:eastAsiaTheme="minorHAnsi" w:hAnsi="Arial" w:cs="Arial"/>
          <w:sz w:val="20"/>
          <w:lang w:val="en-GB" w:eastAsia="en-US"/>
        </w:rPr>
        <w:t>process that has included reviews of emerging TEL trends, assessment of Bristol’s TEL provision compared to our peers, a</w:t>
      </w:r>
      <w:r>
        <w:rPr>
          <w:rFonts w:ascii="Arial" w:eastAsiaTheme="minorHAnsi" w:hAnsi="Arial" w:cs="Arial"/>
          <w:sz w:val="20"/>
          <w:lang w:val="en-GB" w:eastAsia="en-US"/>
        </w:rPr>
        <w:t xml:space="preserve">nd workshops, focus groups and </w:t>
      </w:r>
      <w:r w:rsidRPr="004762FB">
        <w:rPr>
          <w:rFonts w:ascii="Arial" w:eastAsiaTheme="minorHAnsi" w:hAnsi="Arial" w:cs="Arial"/>
          <w:sz w:val="20"/>
          <w:lang w:val="en-GB" w:eastAsia="en-US"/>
        </w:rPr>
        <w:t xml:space="preserve">interviews with staff and students. </w:t>
      </w:r>
      <w:r>
        <w:rPr>
          <w:rFonts w:ascii="Arial" w:eastAsiaTheme="minorHAnsi" w:hAnsi="Arial" w:cs="Arial"/>
          <w:sz w:val="20"/>
          <w:lang w:val="en-GB" w:eastAsia="en-US"/>
        </w:rPr>
        <w:t xml:space="preserve"> </w:t>
      </w:r>
    </w:p>
    <w:p w:rsidR="00466B9B" w:rsidRPr="004762FB" w:rsidRDefault="00466B9B" w:rsidP="00466B9B">
      <w:pPr>
        <w:pStyle w:val="Body1"/>
        <w:rPr>
          <w:rFonts w:ascii="Arial" w:hAnsi="Arial" w:cs="Arial"/>
          <w:b/>
          <w:bCs/>
          <w:sz w:val="20"/>
        </w:rPr>
      </w:pPr>
    </w:p>
    <w:p w:rsidR="00466B9B" w:rsidRPr="00261FC7" w:rsidRDefault="00466B9B" w:rsidP="00466B9B">
      <w:pPr>
        <w:pStyle w:val="Default"/>
        <w:rPr>
          <w:rFonts w:ascii="Arial" w:hAnsi="Arial" w:cs="Arial"/>
          <w:b/>
          <w:sz w:val="20"/>
          <w:szCs w:val="20"/>
        </w:rPr>
      </w:pPr>
      <w:r w:rsidRPr="00261FC7">
        <w:rPr>
          <w:rFonts w:ascii="Arial" w:hAnsi="Arial" w:cs="Arial"/>
          <w:b/>
          <w:sz w:val="20"/>
          <w:szCs w:val="20"/>
        </w:rPr>
        <w:t xml:space="preserve">A number of key messages that form the basis of the approach have consistently emerged: </w:t>
      </w:r>
    </w:p>
    <w:p w:rsidR="00466B9B" w:rsidRDefault="00466B9B" w:rsidP="00261FC7">
      <w:pPr>
        <w:pStyle w:val="Default"/>
        <w:numPr>
          <w:ilvl w:val="0"/>
          <w:numId w:val="1"/>
        </w:numPr>
        <w:ind w:left="1418"/>
        <w:rPr>
          <w:rFonts w:ascii="Arial" w:hAnsi="Arial" w:cs="Arial"/>
          <w:sz w:val="20"/>
          <w:szCs w:val="20"/>
        </w:rPr>
      </w:pPr>
      <w:r>
        <w:rPr>
          <w:rFonts w:ascii="Arial" w:hAnsi="Arial" w:cs="Arial"/>
          <w:sz w:val="20"/>
          <w:szCs w:val="20"/>
        </w:rPr>
        <w:t>Prioritising those things which will assist in delivery of our education  vision, rather than starting from the availability of a particular technology</w:t>
      </w:r>
    </w:p>
    <w:p w:rsidR="00466B9B" w:rsidRPr="004762FB" w:rsidRDefault="00466B9B" w:rsidP="00261FC7">
      <w:pPr>
        <w:pStyle w:val="Default"/>
        <w:numPr>
          <w:ilvl w:val="0"/>
          <w:numId w:val="1"/>
        </w:numPr>
        <w:ind w:left="1418"/>
        <w:rPr>
          <w:rFonts w:ascii="Arial" w:hAnsi="Arial" w:cs="Arial"/>
          <w:sz w:val="20"/>
          <w:szCs w:val="20"/>
        </w:rPr>
      </w:pPr>
      <w:r w:rsidRPr="004762FB">
        <w:rPr>
          <w:rFonts w:ascii="Arial" w:hAnsi="Arial" w:cs="Arial"/>
          <w:sz w:val="20"/>
          <w:szCs w:val="20"/>
        </w:rPr>
        <w:t>Enhancing the user experience for students, academics and support staff</w:t>
      </w:r>
    </w:p>
    <w:p w:rsidR="00466B9B" w:rsidRPr="004762FB" w:rsidRDefault="00466B9B" w:rsidP="00261FC7">
      <w:pPr>
        <w:pStyle w:val="Default"/>
        <w:numPr>
          <w:ilvl w:val="0"/>
          <w:numId w:val="1"/>
        </w:numPr>
        <w:ind w:left="1418"/>
        <w:rPr>
          <w:rFonts w:ascii="Arial" w:hAnsi="Arial" w:cs="Arial"/>
          <w:sz w:val="20"/>
          <w:szCs w:val="20"/>
        </w:rPr>
      </w:pPr>
      <w:r w:rsidRPr="004762FB">
        <w:rPr>
          <w:rFonts w:ascii="Arial" w:hAnsi="Arial" w:cs="Arial"/>
          <w:sz w:val="20"/>
          <w:szCs w:val="20"/>
        </w:rPr>
        <w:t xml:space="preserve">Stabilising the technical infrastructure to </w:t>
      </w:r>
      <w:r>
        <w:rPr>
          <w:rFonts w:ascii="Arial" w:hAnsi="Arial" w:cs="Arial"/>
          <w:sz w:val="20"/>
          <w:szCs w:val="20"/>
        </w:rPr>
        <w:t xml:space="preserve">ensure </w:t>
      </w:r>
      <w:r w:rsidRPr="004762FB">
        <w:rPr>
          <w:rFonts w:ascii="Arial" w:hAnsi="Arial" w:cs="Arial"/>
          <w:sz w:val="20"/>
          <w:szCs w:val="20"/>
        </w:rPr>
        <w:t>reliability and quality</w:t>
      </w:r>
    </w:p>
    <w:p w:rsidR="00466B9B" w:rsidRPr="004762FB" w:rsidRDefault="00466B9B" w:rsidP="00261FC7">
      <w:pPr>
        <w:pStyle w:val="Default"/>
        <w:numPr>
          <w:ilvl w:val="0"/>
          <w:numId w:val="1"/>
        </w:numPr>
        <w:ind w:left="1418"/>
        <w:rPr>
          <w:rFonts w:ascii="Arial" w:hAnsi="Arial" w:cs="Arial"/>
          <w:sz w:val="20"/>
          <w:szCs w:val="20"/>
        </w:rPr>
      </w:pPr>
      <w:r w:rsidRPr="004762FB">
        <w:rPr>
          <w:rFonts w:ascii="Arial" w:hAnsi="Arial" w:cs="Arial"/>
          <w:sz w:val="20"/>
          <w:szCs w:val="20"/>
        </w:rPr>
        <w:t>Enhancing the exploitation of existing resources before developing new initiatives</w:t>
      </w:r>
    </w:p>
    <w:p w:rsidR="00466B9B" w:rsidRPr="004762FB" w:rsidRDefault="00466B9B" w:rsidP="00261FC7">
      <w:pPr>
        <w:pStyle w:val="Default"/>
        <w:numPr>
          <w:ilvl w:val="0"/>
          <w:numId w:val="1"/>
        </w:numPr>
        <w:ind w:left="1418"/>
        <w:rPr>
          <w:rFonts w:ascii="Arial" w:hAnsi="Arial" w:cs="Arial"/>
          <w:sz w:val="20"/>
          <w:szCs w:val="20"/>
        </w:rPr>
      </w:pPr>
      <w:r w:rsidRPr="004762FB">
        <w:rPr>
          <w:rFonts w:ascii="Arial" w:hAnsi="Arial" w:cs="Arial"/>
          <w:sz w:val="20"/>
          <w:szCs w:val="20"/>
        </w:rPr>
        <w:t>Enhancing clarity in relation to centrally support</w:t>
      </w:r>
      <w:r>
        <w:rPr>
          <w:rFonts w:ascii="Arial" w:hAnsi="Arial" w:cs="Arial"/>
          <w:sz w:val="20"/>
          <w:szCs w:val="20"/>
        </w:rPr>
        <w:t>ed</w:t>
      </w:r>
      <w:r w:rsidRPr="004762FB">
        <w:rPr>
          <w:rFonts w:ascii="Arial" w:hAnsi="Arial" w:cs="Arial"/>
          <w:sz w:val="20"/>
          <w:szCs w:val="20"/>
        </w:rPr>
        <w:t xml:space="preserve"> systems and ensuring their consistent use</w:t>
      </w:r>
    </w:p>
    <w:p w:rsidR="00466B9B" w:rsidRPr="004762FB" w:rsidRDefault="00466B9B" w:rsidP="00261FC7">
      <w:pPr>
        <w:pStyle w:val="Body1"/>
        <w:numPr>
          <w:ilvl w:val="0"/>
          <w:numId w:val="1"/>
        </w:numPr>
        <w:ind w:left="1418"/>
        <w:rPr>
          <w:rFonts w:ascii="Arial" w:hAnsi="Arial" w:cs="Arial"/>
          <w:bCs/>
          <w:sz w:val="20"/>
        </w:rPr>
      </w:pPr>
      <w:r w:rsidRPr="004762FB">
        <w:rPr>
          <w:rFonts w:ascii="Arial" w:hAnsi="Arial" w:cs="Arial"/>
          <w:bCs/>
          <w:sz w:val="20"/>
        </w:rPr>
        <w:t xml:space="preserve">Deploying centrally supported systems to provide the services that currently local systems provide </w:t>
      </w:r>
    </w:p>
    <w:p w:rsidR="00466B9B" w:rsidRPr="004762FB" w:rsidRDefault="00466B9B" w:rsidP="00261FC7">
      <w:pPr>
        <w:pStyle w:val="Body1"/>
        <w:numPr>
          <w:ilvl w:val="0"/>
          <w:numId w:val="1"/>
        </w:numPr>
        <w:ind w:left="1418"/>
        <w:rPr>
          <w:rFonts w:ascii="Arial" w:hAnsi="Arial" w:cs="Arial"/>
          <w:bCs/>
          <w:sz w:val="20"/>
        </w:rPr>
      </w:pPr>
      <w:r w:rsidRPr="004762FB">
        <w:rPr>
          <w:rFonts w:ascii="Arial" w:hAnsi="Arial" w:cs="Arial"/>
          <w:bCs/>
          <w:sz w:val="20"/>
        </w:rPr>
        <w:t>A seamless user experience – consistent, coherent and unified view</w:t>
      </w:r>
    </w:p>
    <w:p w:rsidR="00466B9B" w:rsidRDefault="00466B9B" w:rsidP="00261FC7">
      <w:pPr>
        <w:pStyle w:val="Body1"/>
        <w:numPr>
          <w:ilvl w:val="0"/>
          <w:numId w:val="1"/>
        </w:numPr>
        <w:ind w:left="1418"/>
        <w:rPr>
          <w:rFonts w:ascii="Arial" w:hAnsi="Arial" w:cs="Arial"/>
          <w:bCs/>
          <w:sz w:val="20"/>
        </w:rPr>
      </w:pPr>
      <w:r w:rsidRPr="004762FB">
        <w:rPr>
          <w:rFonts w:ascii="Arial" w:hAnsi="Arial" w:cs="Arial"/>
          <w:bCs/>
          <w:sz w:val="20"/>
        </w:rPr>
        <w:t xml:space="preserve">A rejection of the myth of the digital native, prioritizing ease of access, </w:t>
      </w:r>
      <w:r>
        <w:rPr>
          <w:rFonts w:ascii="Arial" w:hAnsi="Arial" w:cs="Arial"/>
          <w:bCs/>
          <w:sz w:val="20"/>
        </w:rPr>
        <w:t xml:space="preserve">and the provision of digital literacy </w:t>
      </w:r>
      <w:r w:rsidRPr="004762FB">
        <w:rPr>
          <w:rFonts w:ascii="Arial" w:hAnsi="Arial" w:cs="Arial"/>
          <w:bCs/>
          <w:sz w:val="20"/>
        </w:rPr>
        <w:t xml:space="preserve">support and training </w:t>
      </w:r>
      <w:r>
        <w:rPr>
          <w:rFonts w:ascii="Arial" w:hAnsi="Arial" w:cs="Arial"/>
          <w:bCs/>
          <w:sz w:val="20"/>
        </w:rPr>
        <w:t xml:space="preserve">for staff and students, </w:t>
      </w:r>
    </w:p>
    <w:p w:rsidR="00466B9B" w:rsidRPr="004762FB" w:rsidRDefault="00466B9B" w:rsidP="00261FC7">
      <w:pPr>
        <w:pStyle w:val="Body1"/>
        <w:numPr>
          <w:ilvl w:val="0"/>
          <w:numId w:val="1"/>
        </w:numPr>
        <w:ind w:left="1418"/>
        <w:rPr>
          <w:rFonts w:ascii="Arial" w:hAnsi="Arial" w:cs="Arial"/>
          <w:bCs/>
          <w:sz w:val="20"/>
        </w:rPr>
      </w:pPr>
      <w:r>
        <w:rPr>
          <w:rFonts w:ascii="Arial" w:hAnsi="Arial" w:cs="Arial"/>
          <w:bCs/>
          <w:sz w:val="20"/>
        </w:rPr>
        <w:t>Making the most internationally of our areas of excellence</w:t>
      </w:r>
    </w:p>
    <w:p w:rsidR="0059750D" w:rsidRPr="0059750D" w:rsidRDefault="0059750D" w:rsidP="0059750D">
      <w:pPr>
        <w:pStyle w:val="Bulletparas"/>
        <w:rPr>
          <w:szCs w:val="20"/>
        </w:rPr>
      </w:pPr>
    </w:p>
    <w:p w:rsidR="0059750D" w:rsidRDefault="0059750D" w:rsidP="0059750D">
      <w:pPr>
        <w:pStyle w:val="Bulletparas"/>
        <w:ind w:left="720"/>
        <w:rPr>
          <w:szCs w:val="20"/>
        </w:rPr>
      </w:pPr>
    </w:p>
    <w:p w:rsidR="0059750D" w:rsidRDefault="00CC5790" w:rsidP="0059750D">
      <w:pPr>
        <w:pStyle w:val="Bulletparas"/>
        <w:rPr>
          <w:b/>
          <w:szCs w:val="20"/>
          <w:u w:val="single"/>
        </w:rPr>
      </w:pPr>
      <w:r w:rsidRPr="00CC5790">
        <w:rPr>
          <w:b/>
          <w:szCs w:val="20"/>
        </w:rPr>
        <w:t xml:space="preserve"> </w:t>
      </w:r>
      <w:r w:rsidRPr="00CC5790">
        <w:rPr>
          <w:b/>
          <w:szCs w:val="20"/>
          <w:u w:val="single"/>
        </w:rPr>
        <w:t>Year 1</w:t>
      </w:r>
    </w:p>
    <w:p w:rsidR="00CC5790" w:rsidRPr="00CC5790" w:rsidRDefault="00CC5790" w:rsidP="0059750D">
      <w:pPr>
        <w:pStyle w:val="Bulletparas"/>
        <w:rPr>
          <w:b/>
          <w:szCs w:val="20"/>
        </w:rPr>
      </w:pPr>
    </w:p>
    <w:p w:rsidR="0059750D" w:rsidRPr="0059750D" w:rsidRDefault="00CC5790" w:rsidP="00371873">
      <w:pPr>
        <w:pStyle w:val="Bulletparas"/>
        <w:rPr>
          <w:szCs w:val="20"/>
        </w:rPr>
      </w:pPr>
      <w:r>
        <w:rPr>
          <w:szCs w:val="20"/>
        </w:rPr>
        <w:t>The Roadmap provides for a rolling five year programme of activities. The priorities for the first year are:</w:t>
      </w:r>
    </w:p>
    <w:p w:rsidR="00130E87" w:rsidRDefault="00130E87" w:rsidP="00371873">
      <w:pPr>
        <w:pStyle w:val="ListParagraph"/>
        <w:numPr>
          <w:ilvl w:val="0"/>
          <w:numId w:val="3"/>
        </w:numPr>
        <w:spacing w:line="240" w:lineRule="auto"/>
        <w:rPr>
          <w:szCs w:val="20"/>
        </w:rPr>
      </w:pPr>
      <w:r w:rsidRPr="00CB08C5">
        <w:rPr>
          <w:szCs w:val="20"/>
        </w:rPr>
        <w:t>Clear understanding of the educational practices we want to encourage</w:t>
      </w:r>
      <w:r>
        <w:rPr>
          <w:szCs w:val="20"/>
        </w:rPr>
        <w:t>:</w:t>
      </w:r>
    </w:p>
    <w:p w:rsidR="00130E87" w:rsidRDefault="00130E87" w:rsidP="00371873">
      <w:pPr>
        <w:pStyle w:val="ListParagraph"/>
        <w:numPr>
          <w:ilvl w:val="1"/>
          <w:numId w:val="3"/>
        </w:numPr>
        <w:spacing w:line="240" w:lineRule="auto"/>
        <w:rPr>
          <w:szCs w:val="20"/>
        </w:rPr>
      </w:pPr>
      <w:r>
        <w:rPr>
          <w:szCs w:val="20"/>
        </w:rPr>
        <w:t>Improved sharing of good practice</w:t>
      </w:r>
    </w:p>
    <w:p w:rsidR="00130E87" w:rsidRDefault="00130E87" w:rsidP="00371873">
      <w:pPr>
        <w:pStyle w:val="ListParagraph"/>
        <w:numPr>
          <w:ilvl w:val="1"/>
          <w:numId w:val="3"/>
        </w:numPr>
        <w:spacing w:line="240" w:lineRule="auto"/>
        <w:rPr>
          <w:szCs w:val="20"/>
        </w:rPr>
      </w:pPr>
      <w:r>
        <w:rPr>
          <w:szCs w:val="20"/>
        </w:rPr>
        <w:t>Modelling  and supporting desired practice</w:t>
      </w:r>
    </w:p>
    <w:p w:rsidR="00130E87" w:rsidRDefault="00130E87" w:rsidP="00371873">
      <w:pPr>
        <w:pStyle w:val="ListParagraph"/>
        <w:numPr>
          <w:ilvl w:val="1"/>
          <w:numId w:val="3"/>
        </w:numPr>
        <w:spacing w:line="240" w:lineRule="auto"/>
        <w:rPr>
          <w:szCs w:val="20"/>
        </w:rPr>
      </w:pPr>
      <w:r>
        <w:rPr>
          <w:szCs w:val="20"/>
        </w:rPr>
        <w:t>Recognising achievement and progress</w:t>
      </w:r>
    </w:p>
    <w:p w:rsidR="00130E87" w:rsidRDefault="00130E87" w:rsidP="00371873">
      <w:pPr>
        <w:pStyle w:val="ListParagraph"/>
        <w:numPr>
          <w:ilvl w:val="1"/>
          <w:numId w:val="3"/>
        </w:numPr>
        <w:spacing w:line="240" w:lineRule="auto"/>
        <w:rPr>
          <w:szCs w:val="20"/>
        </w:rPr>
      </w:pPr>
      <w:r>
        <w:rPr>
          <w:szCs w:val="20"/>
        </w:rPr>
        <w:t>Identifying opportunities for change</w:t>
      </w:r>
    </w:p>
    <w:p w:rsidR="00130E87" w:rsidRDefault="00130E87" w:rsidP="00371873">
      <w:pPr>
        <w:pStyle w:val="ListParagraph"/>
        <w:numPr>
          <w:ilvl w:val="1"/>
          <w:numId w:val="3"/>
        </w:numPr>
        <w:spacing w:line="240" w:lineRule="auto"/>
        <w:rPr>
          <w:szCs w:val="20"/>
        </w:rPr>
      </w:pPr>
      <w:r>
        <w:rPr>
          <w:szCs w:val="20"/>
        </w:rPr>
        <w:t>Promoting internally and externally our areas of excellence</w:t>
      </w:r>
    </w:p>
    <w:p w:rsidR="00130E87" w:rsidRPr="00130E87" w:rsidRDefault="00130E87" w:rsidP="00371873">
      <w:pPr>
        <w:pStyle w:val="ListParagraph"/>
        <w:numPr>
          <w:ilvl w:val="1"/>
          <w:numId w:val="3"/>
        </w:numPr>
        <w:spacing w:line="240" w:lineRule="auto"/>
        <w:rPr>
          <w:szCs w:val="20"/>
        </w:rPr>
      </w:pPr>
      <w:r w:rsidRPr="00130E87">
        <w:rPr>
          <w:szCs w:val="20"/>
        </w:rPr>
        <w:t xml:space="preserve">Student engagement with academics to identify good practice and opportunities for future development. </w:t>
      </w:r>
    </w:p>
    <w:p w:rsidR="00130E87" w:rsidRDefault="00130E87" w:rsidP="00371873">
      <w:pPr>
        <w:pStyle w:val="ListParagraph"/>
        <w:numPr>
          <w:ilvl w:val="0"/>
          <w:numId w:val="3"/>
        </w:numPr>
        <w:spacing w:line="240" w:lineRule="auto"/>
        <w:rPr>
          <w:szCs w:val="20"/>
        </w:rPr>
      </w:pPr>
      <w:r w:rsidRPr="00CB08C5">
        <w:rPr>
          <w:szCs w:val="20"/>
        </w:rPr>
        <w:t>Effective support to staff and students</w:t>
      </w:r>
      <w:r>
        <w:rPr>
          <w:szCs w:val="20"/>
        </w:rPr>
        <w:t>:</w:t>
      </w:r>
    </w:p>
    <w:p w:rsidR="00130E87" w:rsidRDefault="00130E87" w:rsidP="00371873">
      <w:pPr>
        <w:pStyle w:val="ListParagraph"/>
        <w:numPr>
          <w:ilvl w:val="1"/>
          <w:numId w:val="3"/>
        </w:numPr>
        <w:spacing w:line="240" w:lineRule="auto"/>
        <w:rPr>
          <w:szCs w:val="20"/>
        </w:rPr>
      </w:pPr>
      <w:r>
        <w:rPr>
          <w:szCs w:val="20"/>
        </w:rPr>
        <w:t>Creating a digital literacy strategy for staff and students</w:t>
      </w:r>
    </w:p>
    <w:p w:rsidR="00130E87" w:rsidRDefault="00130E87" w:rsidP="00371873">
      <w:pPr>
        <w:pStyle w:val="ListParagraph"/>
        <w:numPr>
          <w:ilvl w:val="1"/>
          <w:numId w:val="3"/>
        </w:numPr>
        <w:spacing w:line="240" w:lineRule="auto"/>
        <w:rPr>
          <w:szCs w:val="20"/>
        </w:rPr>
      </w:pPr>
      <w:r>
        <w:rPr>
          <w:szCs w:val="20"/>
        </w:rPr>
        <w:t>Building confidence and empowering innovation</w:t>
      </w:r>
    </w:p>
    <w:p w:rsidR="00130E87" w:rsidRDefault="00130E87" w:rsidP="00371873">
      <w:pPr>
        <w:pStyle w:val="ListParagraph"/>
        <w:numPr>
          <w:ilvl w:val="1"/>
          <w:numId w:val="3"/>
        </w:numPr>
        <w:spacing w:line="240" w:lineRule="auto"/>
        <w:rPr>
          <w:szCs w:val="20"/>
        </w:rPr>
      </w:pPr>
      <w:r>
        <w:rPr>
          <w:szCs w:val="20"/>
        </w:rPr>
        <w:t xml:space="preserve">Professional support for materials  development </w:t>
      </w:r>
      <w:r w:rsidR="00171BB7">
        <w:rPr>
          <w:szCs w:val="20"/>
        </w:rPr>
        <w:t xml:space="preserve">and </w:t>
      </w:r>
      <w:r>
        <w:rPr>
          <w:szCs w:val="20"/>
        </w:rPr>
        <w:t>evidence based expansion of effective methods</w:t>
      </w:r>
    </w:p>
    <w:p w:rsidR="00130E87" w:rsidRDefault="00130E87" w:rsidP="00371873">
      <w:pPr>
        <w:pStyle w:val="ListParagraph"/>
        <w:numPr>
          <w:ilvl w:val="1"/>
          <w:numId w:val="3"/>
        </w:numPr>
        <w:spacing w:line="240" w:lineRule="auto"/>
        <w:rPr>
          <w:szCs w:val="20"/>
        </w:rPr>
      </w:pPr>
      <w:r>
        <w:rPr>
          <w:szCs w:val="20"/>
        </w:rPr>
        <w:t>Getting the best use of current systems</w:t>
      </w:r>
    </w:p>
    <w:p w:rsidR="00130E87" w:rsidRDefault="00130E87" w:rsidP="00371873">
      <w:pPr>
        <w:pStyle w:val="ListParagraph"/>
        <w:numPr>
          <w:ilvl w:val="1"/>
          <w:numId w:val="3"/>
        </w:numPr>
        <w:spacing w:line="240" w:lineRule="auto"/>
        <w:rPr>
          <w:szCs w:val="20"/>
        </w:rPr>
      </w:pPr>
      <w:r>
        <w:rPr>
          <w:szCs w:val="20"/>
        </w:rPr>
        <w:t>Using current opportunities to develop personalisation and collaboration</w:t>
      </w:r>
    </w:p>
    <w:p w:rsidR="00130E87" w:rsidRDefault="00130E87" w:rsidP="00371873">
      <w:pPr>
        <w:pStyle w:val="ListParagraph"/>
        <w:numPr>
          <w:ilvl w:val="1"/>
          <w:numId w:val="3"/>
        </w:numPr>
        <w:spacing w:line="240" w:lineRule="auto"/>
        <w:rPr>
          <w:szCs w:val="20"/>
        </w:rPr>
      </w:pPr>
      <w:r>
        <w:rPr>
          <w:szCs w:val="20"/>
        </w:rPr>
        <w:t>Freeing up academic time to enable them to invest in developing and delivering innovation – in the same way as we use research leave to enable investment in research innovation.</w:t>
      </w:r>
    </w:p>
    <w:p w:rsidR="00130E87" w:rsidRPr="00CC5790" w:rsidRDefault="00130E87" w:rsidP="00371873">
      <w:pPr>
        <w:pStyle w:val="ListParagraph"/>
        <w:numPr>
          <w:ilvl w:val="1"/>
          <w:numId w:val="3"/>
        </w:numPr>
        <w:spacing w:line="240" w:lineRule="auto"/>
        <w:rPr>
          <w:szCs w:val="20"/>
        </w:rPr>
      </w:pPr>
      <w:r>
        <w:rPr>
          <w:szCs w:val="20"/>
        </w:rPr>
        <w:t>Change management support to underpin the processes.</w:t>
      </w:r>
    </w:p>
    <w:p w:rsidR="00CB08C5" w:rsidRDefault="00CB08C5" w:rsidP="00371873">
      <w:pPr>
        <w:pStyle w:val="ListParagraph"/>
        <w:numPr>
          <w:ilvl w:val="0"/>
          <w:numId w:val="3"/>
        </w:numPr>
        <w:spacing w:line="240" w:lineRule="auto"/>
        <w:rPr>
          <w:szCs w:val="20"/>
        </w:rPr>
      </w:pPr>
      <w:r w:rsidRPr="00CB08C5">
        <w:rPr>
          <w:szCs w:val="20"/>
        </w:rPr>
        <w:t>Reliable and integrated infrastructure of simple to use systems</w:t>
      </w:r>
      <w:r w:rsidR="004428F0">
        <w:rPr>
          <w:szCs w:val="20"/>
        </w:rPr>
        <w:t>:</w:t>
      </w:r>
    </w:p>
    <w:p w:rsidR="00CB08C5" w:rsidRDefault="00C74E1D" w:rsidP="00371873">
      <w:pPr>
        <w:pStyle w:val="ListParagraph"/>
        <w:numPr>
          <w:ilvl w:val="1"/>
          <w:numId w:val="3"/>
        </w:numPr>
        <w:spacing w:line="240" w:lineRule="auto"/>
        <w:rPr>
          <w:szCs w:val="20"/>
        </w:rPr>
      </w:pPr>
      <w:r>
        <w:rPr>
          <w:szCs w:val="20"/>
        </w:rPr>
        <w:t>Do the bas</w:t>
      </w:r>
      <w:r w:rsidR="00CB08C5">
        <w:rPr>
          <w:szCs w:val="20"/>
        </w:rPr>
        <w:t>i</w:t>
      </w:r>
      <w:r>
        <w:rPr>
          <w:szCs w:val="20"/>
        </w:rPr>
        <w:t>c</w:t>
      </w:r>
      <w:r w:rsidR="00CB08C5">
        <w:rPr>
          <w:szCs w:val="20"/>
        </w:rPr>
        <w:t>s b</w:t>
      </w:r>
      <w:r>
        <w:rPr>
          <w:szCs w:val="20"/>
        </w:rPr>
        <w:t>e</w:t>
      </w:r>
      <w:r w:rsidR="00CB08C5">
        <w:rPr>
          <w:szCs w:val="20"/>
        </w:rPr>
        <w:t>tter – making IT work well, with the right technical support</w:t>
      </w:r>
    </w:p>
    <w:p w:rsidR="00CB08C5" w:rsidRDefault="00CB08C5" w:rsidP="00371873">
      <w:pPr>
        <w:pStyle w:val="ListParagraph"/>
        <w:numPr>
          <w:ilvl w:val="1"/>
          <w:numId w:val="3"/>
        </w:numPr>
        <w:spacing w:line="240" w:lineRule="auto"/>
        <w:rPr>
          <w:szCs w:val="20"/>
        </w:rPr>
      </w:pPr>
      <w:r>
        <w:rPr>
          <w:szCs w:val="20"/>
        </w:rPr>
        <w:t>Better user experience by design</w:t>
      </w:r>
    </w:p>
    <w:p w:rsidR="00CB08C5" w:rsidRDefault="00CB08C5" w:rsidP="00371873">
      <w:pPr>
        <w:pStyle w:val="ListParagraph"/>
        <w:numPr>
          <w:ilvl w:val="1"/>
          <w:numId w:val="3"/>
        </w:numPr>
        <w:spacing w:line="240" w:lineRule="auto"/>
        <w:rPr>
          <w:szCs w:val="20"/>
        </w:rPr>
      </w:pPr>
      <w:r>
        <w:rPr>
          <w:szCs w:val="20"/>
        </w:rPr>
        <w:t>Better user experience by support for diverse platforms and mobile access</w:t>
      </w:r>
    </w:p>
    <w:p w:rsidR="00CB08C5" w:rsidRDefault="00CB08C5" w:rsidP="00371873">
      <w:pPr>
        <w:pStyle w:val="ListParagraph"/>
        <w:numPr>
          <w:ilvl w:val="1"/>
          <w:numId w:val="3"/>
        </w:numPr>
        <w:spacing w:line="240" w:lineRule="auto"/>
        <w:rPr>
          <w:szCs w:val="20"/>
        </w:rPr>
      </w:pPr>
      <w:r>
        <w:rPr>
          <w:szCs w:val="20"/>
        </w:rPr>
        <w:t>B</w:t>
      </w:r>
      <w:r w:rsidR="00466B9B">
        <w:rPr>
          <w:szCs w:val="20"/>
        </w:rPr>
        <w:t>e</w:t>
      </w:r>
      <w:r>
        <w:rPr>
          <w:szCs w:val="20"/>
        </w:rPr>
        <w:t>tter user experience by better use and re-use of data</w:t>
      </w:r>
    </w:p>
    <w:p w:rsidR="009B591B" w:rsidRPr="007B476E" w:rsidRDefault="00466B9B" w:rsidP="00371873">
      <w:pPr>
        <w:pStyle w:val="ListParagraph"/>
        <w:numPr>
          <w:ilvl w:val="1"/>
          <w:numId w:val="3"/>
        </w:numPr>
        <w:spacing w:line="240" w:lineRule="auto"/>
        <w:rPr>
          <w:b/>
          <w:iCs/>
        </w:rPr>
      </w:pPr>
      <w:r>
        <w:rPr>
          <w:szCs w:val="20"/>
        </w:rPr>
        <w:t>Better user experience by adopting a Mobile University approach</w:t>
      </w:r>
      <w:r w:rsidR="00875232">
        <w:rPr>
          <w:szCs w:val="20"/>
        </w:rPr>
        <w:t xml:space="preserve"> </w:t>
      </w:r>
    </w:p>
    <w:sectPr w:rsidR="009B591B" w:rsidRPr="007B476E" w:rsidSect="00436CD4">
      <w:headerReference w:type="even"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358" w:rsidRDefault="00DB3358" w:rsidP="005845E7">
      <w:pPr>
        <w:spacing w:after="0" w:line="240" w:lineRule="auto"/>
      </w:pPr>
      <w:r>
        <w:separator/>
      </w:r>
    </w:p>
  </w:endnote>
  <w:endnote w:type="continuationSeparator" w:id="0">
    <w:p w:rsidR="00DB3358" w:rsidRDefault="00DB3358" w:rsidP="005845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00"/>
    <w:family w:val="roman"/>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26"/>
      <w:gridCol w:w="8330"/>
    </w:tblGrid>
    <w:tr w:rsidR="0040714D">
      <w:tc>
        <w:tcPr>
          <w:tcW w:w="500" w:type="pct"/>
          <w:tcBorders>
            <w:top w:val="single" w:sz="4" w:space="0" w:color="943634" w:themeColor="accent2" w:themeShade="BF"/>
          </w:tcBorders>
          <w:shd w:val="clear" w:color="auto" w:fill="943634" w:themeFill="accent2" w:themeFillShade="BF"/>
        </w:tcPr>
        <w:p w:rsidR="0040714D" w:rsidRDefault="00327B72">
          <w:pPr>
            <w:pStyle w:val="Footer"/>
            <w:jc w:val="right"/>
            <w:rPr>
              <w:b/>
              <w:color w:val="FFFFFF" w:themeColor="background1"/>
            </w:rPr>
          </w:pPr>
          <w:fldSimple w:instr=" PAGE   \* MERGEFORMAT ">
            <w:r w:rsidR="00171BB7" w:rsidRPr="00171BB7">
              <w:rPr>
                <w:noProof/>
                <w:color w:val="FFFFFF" w:themeColor="background1"/>
              </w:rPr>
              <w:t>3</w:t>
            </w:r>
          </w:fldSimple>
        </w:p>
      </w:tc>
      <w:tc>
        <w:tcPr>
          <w:tcW w:w="4500" w:type="pct"/>
          <w:tcBorders>
            <w:top w:val="single" w:sz="4" w:space="0" w:color="auto"/>
          </w:tcBorders>
        </w:tcPr>
        <w:p w:rsidR="0040714D" w:rsidRDefault="00425BB4">
          <w:pPr>
            <w:pStyle w:val="Footer"/>
          </w:pPr>
          <w:r>
            <w:t>25</w:t>
          </w:r>
          <w:r w:rsidR="0040714D">
            <w:t xml:space="preserve"> April 2012 | </w:t>
          </w:r>
          <w:sdt>
            <w:sdtPr>
              <w:alias w:val="Company"/>
              <w:id w:val="75914618"/>
              <w:placeholder>
                <w:docPart w:val="6F19F729369F47429F7E4F77BCB553B6"/>
              </w:placeholder>
              <w:dataBinding w:prefixMappings="xmlns:ns0='http://schemas.openxmlformats.org/officeDocument/2006/extended-properties'" w:xpath="/ns0:Properties[1]/ns0:Company[1]" w:storeItemID="{6668398D-A668-4E3E-A5EB-62B293D839F1}"/>
              <w:text/>
            </w:sdtPr>
            <w:sdtContent>
              <w:r w:rsidR="0040714D">
                <w:t>University of Bristol</w:t>
              </w:r>
            </w:sdtContent>
          </w:sdt>
        </w:p>
      </w:tc>
    </w:tr>
  </w:tbl>
  <w:p w:rsidR="00F50F01" w:rsidRDefault="00F50F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358" w:rsidRDefault="00DB3358" w:rsidP="005845E7">
      <w:pPr>
        <w:spacing w:after="0" w:line="240" w:lineRule="auto"/>
      </w:pPr>
      <w:r>
        <w:separator/>
      </w:r>
    </w:p>
  </w:footnote>
  <w:footnote w:type="continuationSeparator" w:id="0">
    <w:p w:rsidR="00DB3358" w:rsidRDefault="00DB3358" w:rsidP="005845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F01" w:rsidRDefault="00327B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334922" o:spid="_x0000_s2050" type="#_x0000_t136" style="position:absolute;margin-left:0;margin-top:0;width:556.75pt;height:79.5pt;rotation:315;z-index:-251654144;mso-position-horizontal:center;mso-position-horizontal-relative:margin;mso-position-vertical:center;mso-position-vertical-relative:margin" o:allowincell="f" fillcolor="silver" stroked="f">
          <v:fill opacity=".5"/>
          <v:textpath style="font-family:&quot;Calibri&quot;;font-size:1pt" string="DRAFT 3 - not for circulation"/>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F01" w:rsidRDefault="00327B7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1334921" o:spid="_x0000_s2049" type="#_x0000_t136" style="position:absolute;margin-left:0;margin-top:0;width:556.75pt;height:79.5pt;rotation:315;z-index:-251656192;mso-position-horizontal:center;mso-position-horizontal-relative:margin;mso-position-vertical:center;mso-position-vertical-relative:margin" o:allowincell="f" fillcolor="silver" stroked="f">
          <v:fill opacity=".5"/>
          <v:textpath style="font-family:&quot;Calibri&quot;;font-size:1pt" string="DRAFT 3 - not for circulation"/>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D083B"/>
    <w:multiLevelType w:val="hybridMultilevel"/>
    <w:tmpl w:val="CA8E4D04"/>
    <w:lvl w:ilvl="0" w:tplc="0458243E">
      <w:start w:val="14"/>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982661"/>
    <w:multiLevelType w:val="hybridMultilevel"/>
    <w:tmpl w:val="1C2C129C"/>
    <w:lvl w:ilvl="0" w:tplc="EED2AE16">
      <w:numFmt w:val="bullet"/>
      <w:lvlText w:val=""/>
      <w:lvlJc w:val="left"/>
      <w:pPr>
        <w:ind w:left="780" w:hanging="42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E34DFE"/>
    <w:multiLevelType w:val="hybridMultilevel"/>
    <w:tmpl w:val="BB16BBA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CC7104"/>
    <w:multiLevelType w:val="hybridMultilevel"/>
    <w:tmpl w:val="910AD844"/>
    <w:lvl w:ilvl="0" w:tplc="C4C08FA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B5D474D"/>
    <w:multiLevelType w:val="hybridMultilevel"/>
    <w:tmpl w:val="B9B62A90"/>
    <w:lvl w:ilvl="0" w:tplc="5FF25D60">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C0C0B80"/>
    <w:multiLevelType w:val="hybridMultilevel"/>
    <w:tmpl w:val="CBA2BF1E"/>
    <w:lvl w:ilvl="0" w:tplc="E41EEE12">
      <w:start w:val="2012"/>
      <w:numFmt w:val="bullet"/>
      <w:lvlText w:val=""/>
      <w:lvlJc w:val="left"/>
      <w:pPr>
        <w:ind w:left="720" w:hanging="360"/>
      </w:pPr>
      <w:rPr>
        <w:rFonts w:ascii="Symbol" w:eastAsia="ヒラギノ角ゴ Pro W3"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9C22D6"/>
    <w:multiLevelType w:val="hybridMultilevel"/>
    <w:tmpl w:val="51467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370031B6"/>
    <w:multiLevelType w:val="hybridMultilevel"/>
    <w:tmpl w:val="AB36B4E0"/>
    <w:lvl w:ilvl="0" w:tplc="08090003">
      <w:start w:val="1"/>
      <w:numFmt w:val="bullet"/>
      <w:lvlText w:val="o"/>
      <w:lvlJc w:val="left"/>
      <w:pPr>
        <w:ind w:left="1074" w:hanging="360"/>
      </w:pPr>
      <w:rPr>
        <w:rFonts w:ascii="Courier New" w:hAnsi="Courier New" w:cs="Courier New" w:hint="default"/>
      </w:rPr>
    </w:lvl>
    <w:lvl w:ilvl="1" w:tplc="08090003">
      <w:start w:val="1"/>
      <w:numFmt w:val="bullet"/>
      <w:lvlText w:val="o"/>
      <w:lvlJc w:val="left"/>
      <w:pPr>
        <w:ind w:left="1794" w:hanging="360"/>
      </w:pPr>
      <w:rPr>
        <w:rFonts w:ascii="Courier New" w:hAnsi="Courier New" w:cs="Courier New" w:hint="default"/>
      </w:rPr>
    </w:lvl>
    <w:lvl w:ilvl="2" w:tplc="08090005">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8">
    <w:nsid w:val="4A26538C"/>
    <w:multiLevelType w:val="hybridMultilevel"/>
    <w:tmpl w:val="D1345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E085047"/>
    <w:multiLevelType w:val="hybridMultilevel"/>
    <w:tmpl w:val="FA9CB5D6"/>
    <w:lvl w:ilvl="0" w:tplc="0458243E">
      <w:start w:val="1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4A45337"/>
    <w:multiLevelType w:val="hybridMultilevel"/>
    <w:tmpl w:val="5F1C0F78"/>
    <w:lvl w:ilvl="0" w:tplc="0458243E">
      <w:start w:val="14"/>
      <w:numFmt w:val="bullet"/>
      <w:lvlText w:val=""/>
      <w:lvlJc w:val="left"/>
      <w:pPr>
        <w:ind w:left="1440" w:hanging="360"/>
      </w:pPr>
      <w:rPr>
        <w:rFonts w:ascii="Symbol" w:eastAsiaTheme="minorHAnsi" w:hAnsi="Symbol"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5"/>
  </w:num>
  <w:num w:numId="3">
    <w:abstractNumId w:val="3"/>
  </w:num>
  <w:num w:numId="4">
    <w:abstractNumId w:val="0"/>
  </w:num>
  <w:num w:numId="5">
    <w:abstractNumId w:val="10"/>
  </w:num>
  <w:num w:numId="6">
    <w:abstractNumId w:val="1"/>
  </w:num>
  <w:num w:numId="7">
    <w:abstractNumId w:val="7"/>
  </w:num>
  <w:num w:numId="8">
    <w:abstractNumId w:val="2"/>
  </w:num>
  <w:num w:numId="9">
    <w:abstractNumId w:val="9"/>
  </w:num>
  <w:num w:numId="10">
    <w:abstractNumId w:val="6"/>
  </w:num>
  <w:num w:numId="11">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5624"/>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AB1E8C"/>
    <w:rsid w:val="000246CD"/>
    <w:rsid w:val="00024B89"/>
    <w:rsid w:val="00026A4F"/>
    <w:rsid w:val="00043871"/>
    <w:rsid w:val="0005615B"/>
    <w:rsid w:val="000678B3"/>
    <w:rsid w:val="0007184B"/>
    <w:rsid w:val="0007375D"/>
    <w:rsid w:val="00086322"/>
    <w:rsid w:val="000D3ED5"/>
    <w:rsid w:val="000E237C"/>
    <w:rsid w:val="000F22C5"/>
    <w:rsid w:val="00121726"/>
    <w:rsid w:val="00121BE0"/>
    <w:rsid w:val="00124B6D"/>
    <w:rsid w:val="00130E87"/>
    <w:rsid w:val="001328C4"/>
    <w:rsid w:val="0013505C"/>
    <w:rsid w:val="001674DE"/>
    <w:rsid w:val="00171BB7"/>
    <w:rsid w:val="001A029E"/>
    <w:rsid w:val="001A629B"/>
    <w:rsid w:val="001B6F2E"/>
    <w:rsid w:val="001C2104"/>
    <w:rsid w:val="001D7110"/>
    <w:rsid w:val="002022E2"/>
    <w:rsid w:val="0020798C"/>
    <w:rsid w:val="0022508E"/>
    <w:rsid w:val="002277B5"/>
    <w:rsid w:val="002357BC"/>
    <w:rsid w:val="00242582"/>
    <w:rsid w:val="00246989"/>
    <w:rsid w:val="00251AA2"/>
    <w:rsid w:val="00261FC7"/>
    <w:rsid w:val="002642A4"/>
    <w:rsid w:val="002848E1"/>
    <w:rsid w:val="0028717F"/>
    <w:rsid w:val="00293AF2"/>
    <w:rsid w:val="002A10D9"/>
    <w:rsid w:val="002A2BE7"/>
    <w:rsid w:val="002A335C"/>
    <w:rsid w:val="003012F4"/>
    <w:rsid w:val="00327B72"/>
    <w:rsid w:val="00346852"/>
    <w:rsid w:val="00371873"/>
    <w:rsid w:val="00376F0E"/>
    <w:rsid w:val="00387E03"/>
    <w:rsid w:val="003924FC"/>
    <w:rsid w:val="003A332C"/>
    <w:rsid w:val="003D2893"/>
    <w:rsid w:val="003D3B93"/>
    <w:rsid w:val="003F0396"/>
    <w:rsid w:val="003F5DC5"/>
    <w:rsid w:val="0040709F"/>
    <w:rsid w:val="0040714D"/>
    <w:rsid w:val="00425BB4"/>
    <w:rsid w:val="0043576A"/>
    <w:rsid w:val="00436CD4"/>
    <w:rsid w:val="004428F0"/>
    <w:rsid w:val="00457A72"/>
    <w:rsid w:val="004637F7"/>
    <w:rsid w:val="00466B9B"/>
    <w:rsid w:val="004762FB"/>
    <w:rsid w:val="004764FF"/>
    <w:rsid w:val="00491865"/>
    <w:rsid w:val="004C1C25"/>
    <w:rsid w:val="004F4DA6"/>
    <w:rsid w:val="00506463"/>
    <w:rsid w:val="0050757A"/>
    <w:rsid w:val="005202B1"/>
    <w:rsid w:val="005427AD"/>
    <w:rsid w:val="00553A6B"/>
    <w:rsid w:val="0056232D"/>
    <w:rsid w:val="00564272"/>
    <w:rsid w:val="00573639"/>
    <w:rsid w:val="00581E3E"/>
    <w:rsid w:val="005845E7"/>
    <w:rsid w:val="0059750D"/>
    <w:rsid w:val="005A5151"/>
    <w:rsid w:val="005D0799"/>
    <w:rsid w:val="005F13BB"/>
    <w:rsid w:val="00606A66"/>
    <w:rsid w:val="00607844"/>
    <w:rsid w:val="006104D9"/>
    <w:rsid w:val="00626DB3"/>
    <w:rsid w:val="006274E6"/>
    <w:rsid w:val="00655B7D"/>
    <w:rsid w:val="006719D3"/>
    <w:rsid w:val="00682850"/>
    <w:rsid w:val="006A1259"/>
    <w:rsid w:val="006C7A21"/>
    <w:rsid w:val="006E07AD"/>
    <w:rsid w:val="0071359F"/>
    <w:rsid w:val="00726BBB"/>
    <w:rsid w:val="00747A3C"/>
    <w:rsid w:val="00753188"/>
    <w:rsid w:val="0078396D"/>
    <w:rsid w:val="00784936"/>
    <w:rsid w:val="007926BA"/>
    <w:rsid w:val="007A3C89"/>
    <w:rsid w:val="007A7F59"/>
    <w:rsid w:val="007B476E"/>
    <w:rsid w:val="007C06E8"/>
    <w:rsid w:val="007C2009"/>
    <w:rsid w:val="007D0C11"/>
    <w:rsid w:val="007F4CD2"/>
    <w:rsid w:val="0080617A"/>
    <w:rsid w:val="00807FD7"/>
    <w:rsid w:val="0081410C"/>
    <w:rsid w:val="00826014"/>
    <w:rsid w:val="00831583"/>
    <w:rsid w:val="00837B2A"/>
    <w:rsid w:val="008420D8"/>
    <w:rsid w:val="00875232"/>
    <w:rsid w:val="00897970"/>
    <w:rsid w:val="008D2275"/>
    <w:rsid w:val="008D285F"/>
    <w:rsid w:val="008D6B19"/>
    <w:rsid w:val="008E0052"/>
    <w:rsid w:val="008E747E"/>
    <w:rsid w:val="00904533"/>
    <w:rsid w:val="00910F33"/>
    <w:rsid w:val="009129F9"/>
    <w:rsid w:val="0091407D"/>
    <w:rsid w:val="00916B75"/>
    <w:rsid w:val="0092026C"/>
    <w:rsid w:val="00922130"/>
    <w:rsid w:val="00922686"/>
    <w:rsid w:val="00951710"/>
    <w:rsid w:val="00954153"/>
    <w:rsid w:val="009611FF"/>
    <w:rsid w:val="00967DCD"/>
    <w:rsid w:val="00985853"/>
    <w:rsid w:val="00985CA1"/>
    <w:rsid w:val="009A13DA"/>
    <w:rsid w:val="009A18BC"/>
    <w:rsid w:val="009A1C57"/>
    <w:rsid w:val="009A615A"/>
    <w:rsid w:val="009B591B"/>
    <w:rsid w:val="009E3287"/>
    <w:rsid w:val="009F25C3"/>
    <w:rsid w:val="009F66AA"/>
    <w:rsid w:val="00A011E0"/>
    <w:rsid w:val="00A15F79"/>
    <w:rsid w:val="00A162AE"/>
    <w:rsid w:val="00A27491"/>
    <w:rsid w:val="00A470F7"/>
    <w:rsid w:val="00A47536"/>
    <w:rsid w:val="00A47CDC"/>
    <w:rsid w:val="00A5229F"/>
    <w:rsid w:val="00A8786B"/>
    <w:rsid w:val="00AB0BAE"/>
    <w:rsid w:val="00AB1E8C"/>
    <w:rsid w:val="00AD35FF"/>
    <w:rsid w:val="00AD36C8"/>
    <w:rsid w:val="00AE34B1"/>
    <w:rsid w:val="00AE4DB4"/>
    <w:rsid w:val="00AE72C3"/>
    <w:rsid w:val="00AF174D"/>
    <w:rsid w:val="00AF5E4D"/>
    <w:rsid w:val="00B126CD"/>
    <w:rsid w:val="00B250CC"/>
    <w:rsid w:val="00B41AF0"/>
    <w:rsid w:val="00B531A2"/>
    <w:rsid w:val="00B62991"/>
    <w:rsid w:val="00B73F7C"/>
    <w:rsid w:val="00B81983"/>
    <w:rsid w:val="00BA1806"/>
    <w:rsid w:val="00BD1695"/>
    <w:rsid w:val="00BE78B0"/>
    <w:rsid w:val="00C155EF"/>
    <w:rsid w:val="00C25115"/>
    <w:rsid w:val="00C47712"/>
    <w:rsid w:val="00C6622A"/>
    <w:rsid w:val="00C74E1D"/>
    <w:rsid w:val="00C77B5B"/>
    <w:rsid w:val="00C83B19"/>
    <w:rsid w:val="00CA1DBF"/>
    <w:rsid w:val="00CA3BC7"/>
    <w:rsid w:val="00CA52D4"/>
    <w:rsid w:val="00CB08C5"/>
    <w:rsid w:val="00CC1862"/>
    <w:rsid w:val="00CC5790"/>
    <w:rsid w:val="00CD2DDA"/>
    <w:rsid w:val="00D2492B"/>
    <w:rsid w:val="00D327BF"/>
    <w:rsid w:val="00D35C54"/>
    <w:rsid w:val="00D4268D"/>
    <w:rsid w:val="00D50BC2"/>
    <w:rsid w:val="00D63CD7"/>
    <w:rsid w:val="00D63FEF"/>
    <w:rsid w:val="00D655B9"/>
    <w:rsid w:val="00D65DE4"/>
    <w:rsid w:val="00D71B01"/>
    <w:rsid w:val="00D77A11"/>
    <w:rsid w:val="00D812FA"/>
    <w:rsid w:val="00DB3358"/>
    <w:rsid w:val="00DB520C"/>
    <w:rsid w:val="00DC10F6"/>
    <w:rsid w:val="00DD065B"/>
    <w:rsid w:val="00DD2E9C"/>
    <w:rsid w:val="00E03AD5"/>
    <w:rsid w:val="00E302B9"/>
    <w:rsid w:val="00E30E92"/>
    <w:rsid w:val="00E34866"/>
    <w:rsid w:val="00E74D3C"/>
    <w:rsid w:val="00E76D56"/>
    <w:rsid w:val="00E82FDB"/>
    <w:rsid w:val="00E92592"/>
    <w:rsid w:val="00EA03C4"/>
    <w:rsid w:val="00EA0DE3"/>
    <w:rsid w:val="00EA48AA"/>
    <w:rsid w:val="00EB1E3D"/>
    <w:rsid w:val="00EB255E"/>
    <w:rsid w:val="00EC0B46"/>
    <w:rsid w:val="00EF4639"/>
    <w:rsid w:val="00F03730"/>
    <w:rsid w:val="00F075BD"/>
    <w:rsid w:val="00F10443"/>
    <w:rsid w:val="00F140C9"/>
    <w:rsid w:val="00F1723C"/>
    <w:rsid w:val="00F45EBB"/>
    <w:rsid w:val="00F507B6"/>
    <w:rsid w:val="00F507C1"/>
    <w:rsid w:val="00F50F01"/>
    <w:rsid w:val="00F75C20"/>
    <w:rsid w:val="00FA7DE2"/>
    <w:rsid w:val="00FC26A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F0E"/>
  </w:style>
  <w:style w:type="paragraph" w:styleId="Heading5">
    <w:name w:val="heading 5"/>
    <w:basedOn w:val="Normal"/>
    <w:link w:val="Heading5Char"/>
    <w:uiPriority w:val="9"/>
    <w:qFormat/>
    <w:rsid w:val="00747A3C"/>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E8C"/>
    <w:pPr>
      <w:ind w:left="720"/>
      <w:contextualSpacing/>
    </w:pPr>
  </w:style>
  <w:style w:type="paragraph" w:customStyle="1" w:styleId="Body1">
    <w:name w:val="Body 1"/>
    <w:rsid w:val="007F4CD2"/>
    <w:pPr>
      <w:spacing w:after="0" w:line="240" w:lineRule="auto"/>
    </w:pPr>
    <w:rPr>
      <w:rFonts w:ascii="Helvetica" w:eastAsia="ヒラギノ角ゴ Pro W3" w:hAnsi="Helvetica" w:cs="Times New Roman"/>
      <w:color w:val="000000"/>
      <w:sz w:val="24"/>
      <w:szCs w:val="20"/>
      <w:lang w:val="en-US" w:eastAsia="en-GB"/>
    </w:rPr>
  </w:style>
  <w:style w:type="paragraph" w:styleId="NormalWeb">
    <w:name w:val="Normal (Web)"/>
    <w:basedOn w:val="Normal"/>
    <w:uiPriority w:val="99"/>
    <w:semiHidden/>
    <w:unhideWhenUsed/>
    <w:rsid w:val="00EA0DE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5845E7"/>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semiHidden/>
    <w:unhideWhenUsed/>
    <w:rsid w:val="005845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45E7"/>
    <w:rPr>
      <w:sz w:val="20"/>
      <w:szCs w:val="20"/>
    </w:rPr>
  </w:style>
  <w:style w:type="character" w:styleId="FootnoteReference">
    <w:name w:val="footnote reference"/>
    <w:basedOn w:val="DefaultParagraphFont"/>
    <w:semiHidden/>
    <w:unhideWhenUsed/>
    <w:rsid w:val="005845E7"/>
    <w:rPr>
      <w:vertAlign w:val="superscript"/>
    </w:rPr>
  </w:style>
  <w:style w:type="character" w:styleId="Hyperlink">
    <w:name w:val="Hyperlink"/>
    <w:basedOn w:val="DefaultParagraphFont"/>
    <w:uiPriority w:val="99"/>
    <w:unhideWhenUsed/>
    <w:rsid w:val="00747A3C"/>
    <w:rPr>
      <w:color w:val="0000FF" w:themeColor="hyperlink"/>
      <w:u w:val="single"/>
    </w:rPr>
  </w:style>
  <w:style w:type="character" w:styleId="Strong">
    <w:name w:val="Strong"/>
    <w:basedOn w:val="DefaultParagraphFont"/>
    <w:uiPriority w:val="22"/>
    <w:qFormat/>
    <w:rsid w:val="00747A3C"/>
    <w:rPr>
      <w:b/>
      <w:bCs/>
    </w:rPr>
  </w:style>
  <w:style w:type="character" w:styleId="FollowedHyperlink">
    <w:name w:val="FollowedHyperlink"/>
    <w:basedOn w:val="DefaultParagraphFont"/>
    <w:uiPriority w:val="99"/>
    <w:semiHidden/>
    <w:unhideWhenUsed/>
    <w:rsid w:val="00747A3C"/>
    <w:rPr>
      <w:color w:val="800080" w:themeColor="followedHyperlink"/>
      <w:u w:val="single"/>
    </w:rPr>
  </w:style>
  <w:style w:type="character" w:customStyle="1" w:styleId="Heading5Char">
    <w:name w:val="Heading 5 Char"/>
    <w:basedOn w:val="DefaultParagraphFont"/>
    <w:link w:val="Heading5"/>
    <w:uiPriority w:val="9"/>
    <w:rsid w:val="00747A3C"/>
    <w:rPr>
      <w:rFonts w:ascii="Times New Roman" w:eastAsia="Times New Roman" w:hAnsi="Times New Roman" w:cs="Times New Roman"/>
      <w:b/>
      <w:bCs/>
      <w:sz w:val="20"/>
      <w:szCs w:val="20"/>
      <w:lang w:eastAsia="en-GB"/>
    </w:rPr>
  </w:style>
  <w:style w:type="paragraph" w:customStyle="1" w:styleId="numberedparasforitt">
    <w:name w:val="numberedparasforitt"/>
    <w:basedOn w:val="Normal"/>
    <w:rsid w:val="00747A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otnoteCharacters">
    <w:name w:val="Footnote Characters"/>
    <w:rsid w:val="005427AD"/>
    <w:rPr>
      <w:sz w:val="18"/>
    </w:rPr>
  </w:style>
  <w:style w:type="paragraph" w:styleId="BodyText2">
    <w:name w:val="Body Text 2"/>
    <w:basedOn w:val="Normal"/>
    <w:link w:val="BodyText2Char"/>
    <w:rsid w:val="005427AD"/>
    <w:pPr>
      <w:suppressAutoHyphens/>
      <w:spacing w:before="120" w:after="120" w:line="240" w:lineRule="auto"/>
    </w:pPr>
    <w:rPr>
      <w:rFonts w:ascii="Arial" w:eastAsia="Times New Roman" w:hAnsi="Arial" w:cs="Arial"/>
      <w:i/>
      <w:iCs/>
      <w:sz w:val="20"/>
      <w:szCs w:val="24"/>
      <w:lang w:eastAsia="ar-SA"/>
    </w:rPr>
  </w:style>
  <w:style w:type="character" w:customStyle="1" w:styleId="BodyText2Char">
    <w:name w:val="Body Text 2 Char"/>
    <w:basedOn w:val="DefaultParagraphFont"/>
    <w:link w:val="BodyText2"/>
    <w:rsid w:val="005427AD"/>
    <w:rPr>
      <w:rFonts w:ascii="Arial" w:eastAsia="Times New Roman" w:hAnsi="Arial" w:cs="Arial"/>
      <w:i/>
      <w:iCs/>
      <w:sz w:val="20"/>
      <w:szCs w:val="24"/>
      <w:lang w:eastAsia="ar-SA"/>
    </w:rPr>
  </w:style>
  <w:style w:type="character" w:customStyle="1" w:styleId="Hyperlink1">
    <w:name w:val="Hyperlink1"/>
    <w:autoRedefine/>
    <w:rsid w:val="00EC0B46"/>
    <w:rPr>
      <w:color w:val="0000FF"/>
      <w:sz w:val="22"/>
      <w:u w:val="single"/>
    </w:rPr>
  </w:style>
  <w:style w:type="character" w:customStyle="1" w:styleId="Strong1">
    <w:name w:val="Strong1"/>
    <w:rsid w:val="00EC0B46"/>
    <w:rPr>
      <w:rFonts w:ascii="Lucida Grande" w:eastAsia="ヒラギノ角ゴ Pro W3" w:hAnsi="Lucida Grande"/>
      <w:b/>
      <w:i w:val="0"/>
      <w:color w:val="000000"/>
      <w:sz w:val="22"/>
    </w:rPr>
  </w:style>
  <w:style w:type="paragraph" w:styleId="NoSpacing">
    <w:name w:val="No Spacing"/>
    <w:uiPriority w:val="1"/>
    <w:qFormat/>
    <w:rsid w:val="00376F0E"/>
    <w:pPr>
      <w:spacing w:after="0" w:line="240" w:lineRule="auto"/>
    </w:pPr>
  </w:style>
  <w:style w:type="paragraph" w:customStyle="1" w:styleId="Bulletparas">
    <w:name w:val="Bullet paras"/>
    <w:basedOn w:val="BodyText2"/>
    <w:qFormat/>
    <w:rsid w:val="00376F0E"/>
    <w:pPr>
      <w:spacing w:before="0" w:after="0"/>
    </w:pPr>
    <w:rPr>
      <w:i w:val="0"/>
    </w:rPr>
  </w:style>
  <w:style w:type="paragraph" w:customStyle="1" w:styleId="StyleBulletparasFirstline0cm">
    <w:name w:val="Style Bullet paras + First line:  0 cm"/>
    <w:basedOn w:val="Bulletparas"/>
    <w:rsid w:val="00376F0E"/>
    <w:rPr>
      <w:rFonts w:cs="Times New Roman"/>
      <w:iCs w:val="0"/>
      <w:szCs w:val="20"/>
    </w:rPr>
  </w:style>
  <w:style w:type="character" w:styleId="CommentReference">
    <w:name w:val="annotation reference"/>
    <w:basedOn w:val="DefaultParagraphFont"/>
    <w:uiPriority w:val="99"/>
    <w:semiHidden/>
    <w:unhideWhenUsed/>
    <w:rsid w:val="006E07AD"/>
    <w:rPr>
      <w:sz w:val="16"/>
      <w:szCs w:val="16"/>
    </w:rPr>
  </w:style>
  <w:style w:type="paragraph" w:styleId="CommentText">
    <w:name w:val="annotation text"/>
    <w:basedOn w:val="Normal"/>
    <w:link w:val="CommentTextChar"/>
    <w:uiPriority w:val="99"/>
    <w:semiHidden/>
    <w:unhideWhenUsed/>
    <w:rsid w:val="006E07AD"/>
    <w:pPr>
      <w:spacing w:line="240" w:lineRule="auto"/>
    </w:pPr>
    <w:rPr>
      <w:sz w:val="20"/>
      <w:szCs w:val="20"/>
    </w:rPr>
  </w:style>
  <w:style w:type="character" w:customStyle="1" w:styleId="CommentTextChar">
    <w:name w:val="Comment Text Char"/>
    <w:basedOn w:val="DefaultParagraphFont"/>
    <w:link w:val="CommentText"/>
    <w:uiPriority w:val="99"/>
    <w:semiHidden/>
    <w:rsid w:val="006E07AD"/>
    <w:rPr>
      <w:sz w:val="20"/>
      <w:szCs w:val="20"/>
    </w:rPr>
  </w:style>
  <w:style w:type="paragraph" w:styleId="CommentSubject">
    <w:name w:val="annotation subject"/>
    <w:basedOn w:val="CommentText"/>
    <w:next w:val="CommentText"/>
    <w:link w:val="CommentSubjectChar"/>
    <w:uiPriority w:val="99"/>
    <w:semiHidden/>
    <w:unhideWhenUsed/>
    <w:rsid w:val="006E07AD"/>
    <w:rPr>
      <w:b/>
      <w:bCs/>
    </w:rPr>
  </w:style>
  <w:style w:type="character" w:customStyle="1" w:styleId="CommentSubjectChar">
    <w:name w:val="Comment Subject Char"/>
    <w:basedOn w:val="CommentTextChar"/>
    <w:link w:val="CommentSubject"/>
    <w:uiPriority w:val="99"/>
    <w:semiHidden/>
    <w:rsid w:val="006E07AD"/>
    <w:rPr>
      <w:b/>
      <w:bCs/>
    </w:rPr>
  </w:style>
  <w:style w:type="paragraph" w:styleId="BalloonText">
    <w:name w:val="Balloon Text"/>
    <w:basedOn w:val="Normal"/>
    <w:link w:val="BalloonTextChar"/>
    <w:uiPriority w:val="99"/>
    <w:semiHidden/>
    <w:unhideWhenUsed/>
    <w:rsid w:val="006E0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7AD"/>
    <w:rPr>
      <w:rFonts w:ascii="Tahoma" w:hAnsi="Tahoma" w:cs="Tahoma"/>
      <w:sz w:val="16"/>
      <w:szCs w:val="16"/>
    </w:rPr>
  </w:style>
  <w:style w:type="paragraph" w:styleId="Header">
    <w:name w:val="header"/>
    <w:basedOn w:val="Normal"/>
    <w:link w:val="HeaderChar"/>
    <w:uiPriority w:val="99"/>
    <w:semiHidden/>
    <w:unhideWhenUsed/>
    <w:rsid w:val="00AB0BA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B0BAE"/>
  </w:style>
  <w:style w:type="paragraph" w:styleId="Footer">
    <w:name w:val="footer"/>
    <w:basedOn w:val="Normal"/>
    <w:link w:val="FooterChar"/>
    <w:uiPriority w:val="99"/>
    <w:unhideWhenUsed/>
    <w:rsid w:val="00AB0B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B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0740323">
      <w:bodyDiv w:val="1"/>
      <w:marLeft w:val="0"/>
      <w:marRight w:val="0"/>
      <w:marTop w:val="0"/>
      <w:marBottom w:val="0"/>
      <w:divBdr>
        <w:top w:val="none" w:sz="0" w:space="0" w:color="auto"/>
        <w:left w:val="none" w:sz="0" w:space="0" w:color="auto"/>
        <w:bottom w:val="none" w:sz="0" w:space="0" w:color="auto"/>
        <w:right w:val="none" w:sz="0" w:space="0" w:color="auto"/>
      </w:divBdr>
    </w:div>
    <w:div w:id="893854669">
      <w:bodyDiv w:val="1"/>
      <w:marLeft w:val="0"/>
      <w:marRight w:val="0"/>
      <w:marTop w:val="0"/>
      <w:marBottom w:val="0"/>
      <w:divBdr>
        <w:top w:val="none" w:sz="0" w:space="0" w:color="auto"/>
        <w:left w:val="none" w:sz="0" w:space="0" w:color="auto"/>
        <w:bottom w:val="none" w:sz="0" w:space="0" w:color="auto"/>
        <w:right w:val="none" w:sz="0" w:space="0" w:color="auto"/>
      </w:divBdr>
    </w:div>
    <w:div w:id="1121341591">
      <w:bodyDiv w:val="1"/>
      <w:marLeft w:val="0"/>
      <w:marRight w:val="0"/>
      <w:marTop w:val="0"/>
      <w:marBottom w:val="0"/>
      <w:divBdr>
        <w:top w:val="none" w:sz="0" w:space="0" w:color="auto"/>
        <w:left w:val="none" w:sz="0" w:space="0" w:color="auto"/>
        <w:bottom w:val="none" w:sz="0" w:space="0" w:color="auto"/>
        <w:right w:val="none" w:sz="0" w:space="0" w:color="auto"/>
      </w:divBdr>
    </w:div>
    <w:div w:id="1451436671">
      <w:bodyDiv w:val="1"/>
      <w:marLeft w:val="0"/>
      <w:marRight w:val="0"/>
      <w:marTop w:val="0"/>
      <w:marBottom w:val="0"/>
      <w:divBdr>
        <w:top w:val="none" w:sz="0" w:space="0" w:color="auto"/>
        <w:left w:val="none" w:sz="0" w:space="0" w:color="auto"/>
        <w:bottom w:val="none" w:sz="0" w:space="0" w:color="auto"/>
        <w:right w:val="none" w:sz="0" w:space="0" w:color="auto"/>
      </w:divBdr>
    </w:div>
    <w:div w:id="1592086164">
      <w:bodyDiv w:val="1"/>
      <w:marLeft w:val="0"/>
      <w:marRight w:val="0"/>
      <w:marTop w:val="0"/>
      <w:marBottom w:val="0"/>
      <w:divBdr>
        <w:top w:val="none" w:sz="0" w:space="0" w:color="auto"/>
        <w:left w:val="none" w:sz="0" w:space="0" w:color="auto"/>
        <w:bottom w:val="none" w:sz="0" w:space="0" w:color="auto"/>
        <w:right w:val="none" w:sz="0" w:space="0" w:color="auto"/>
      </w:divBdr>
    </w:div>
    <w:div w:id="204525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F19F729369F47429F7E4F77BCB553B6"/>
        <w:category>
          <w:name w:val="General"/>
          <w:gallery w:val="placeholder"/>
        </w:category>
        <w:types>
          <w:type w:val="bbPlcHdr"/>
        </w:types>
        <w:behaviors>
          <w:behavior w:val="content"/>
        </w:behaviors>
        <w:guid w:val="{C98303F6-7C74-4D6B-9C85-8F345BEA47D1}"/>
      </w:docPartPr>
      <w:docPartBody>
        <w:p w:rsidR="00201BD1" w:rsidRDefault="00BB05FE" w:rsidP="00BB05FE">
          <w:pPr>
            <w:pStyle w:val="6F19F729369F47429F7E4F77BCB553B6"/>
          </w:pPr>
          <w: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00"/>
    <w:family w:val="roman"/>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B05FE"/>
    <w:rsid w:val="00201BD1"/>
    <w:rsid w:val="00286109"/>
    <w:rsid w:val="0066686A"/>
    <w:rsid w:val="00850D91"/>
    <w:rsid w:val="00861A36"/>
    <w:rsid w:val="00BB05F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B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19F729369F47429F7E4F77BCB553B6">
    <w:name w:val="6F19F729369F47429F7E4F77BCB553B6"/>
    <w:rsid w:val="00BB05F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B5EDB-4383-436F-AB27-39AE3C243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6798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cmxhg</cp:lastModifiedBy>
  <cp:revision>2</cp:revision>
  <cp:lastPrinted>2012-04-02T18:41:00Z</cp:lastPrinted>
  <dcterms:created xsi:type="dcterms:W3CDTF">2012-05-17T09:05:00Z</dcterms:created>
  <dcterms:modified xsi:type="dcterms:W3CDTF">2012-05-17T09:05:00Z</dcterms:modified>
</cp:coreProperties>
</file>